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jc w:val="center"/>
        <w:tblBorders>
          <w:insideH w:val="single" w:sz="4" w:space="0" w:color="auto"/>
        </w:tblBorders>
        <w:tblLook w:val="01E0"/>
      </w:tblPr>
      <w:tblGrid>
        <w:gridCol w:w="3402"/>
        <w:gridCol w:w="5954"/>
      </w:tblGrid>
      <w:tr w:rsidR="002D0B55" w:rsidRPr="00226A76" w:rsidTr="00A470D4">
        <w:trPr>
          <w:trHeight w:val="1122"/>
          <w:jc w:val="center"/>
        </w:trPr>
        <w:tc>
          <w:tcPr>
            <w:tcW w:w="3402" w:type="dxa"/>
          </w:tcPr>
          <w:p w:rsidR="00C10327" w:rsidRPr="002D0B55" w:rsidRDefault="00C10327" w:rsidP="008B2AB9">
            <w:pPr>
              <w:jc w:val="center"/>
              <w:rPr>
                <w:rFonts w:asciiTheme="majorHAnsi" w:hAnsiTheme="majorHAnsi" w:cstheme="majorHAnsi"/>
                <w:b/>
                <w:lang w:val="nl-NL"/>
              </w:rPr>
            </w:pPr>
            <w:r w:rsidRPr="002D0B55">
              <w:rPr>
                <w:rFonts w:asciiTheme="majorHAnsi" w:hAnsiTheme="majorHAnsi" w:cstheme="majorHAnsi"/>
                <w:b/>
                <w:lang w:val="nl-NL"/>
              </w:rPr>
              <w:t>ỦY BAN NHÂN DÂN</w:t>
            </w:r>
          </w:p>
          <w:p w:rsidR="00AC5136" w:rsidRPr="002D0B55" w:rsidRDefault="00C10327" w:rsidP="008B2AB9">
            <w:pPr>
              <w:jc w:val="center"/>
              <w:rPr>
                <w:rFonts w:asciiTheme="majorHAnsi" w:hAnsiTheme="majorHAnsi" w:cstheme="majorHAnsi"/>
                <w:b/>
                <w:lang w:val="nl-NL"/>
              </w:rPr>
            </w:pPr>
            <w:r w:rsidRPr="002D0B55">
              <w:rPr>
                <w:rFonts w:asciiTheme="majorHAnsi" w:hAnsiTheme="majorHAnsi" w:cstheme="majorHAnsi"/>
                <w:b/>
                <w:lang w:val="nl-NL"/>
              </w:rPr>
              <w:t xml:space="preserve"> XÃ </w:t>
            </w:r>
            <w:r w:rsidR="00226A76">
              <w:rPr>
                <w:rFonts w:asciiTheme="majorHAnsi" w:hAnsiTheme="majorHAnsi" w:cstheme="majorHAnsi"/>
                <w:b/>
                <w:lang w:val="nl-NL"/>
              </w:rPr>
              <w:t>THẠCH XUÂN</w:t>
            </w:r>
          </w:p>
          <w:p w:rsidR="00C10327" w:rsidRPr="002D0B55" w:rsidRDefault="00B7166F" w:rsidP="00226A76">
            <w:pPr>
              <w:spacing w:before="240"/>
              <w:jc w:val="center"/>
              <w:rPr>
                <w:rFonts w:asciiTheme="majorHAnsi" w:hAnsiTheme="majorHAnsi" w:cstheme="majorHAnsi"/>
                <w:lang w:val="nl-NL"/>
              </w:rPr>
            </w:pPr>
            <w:r w:rsidRPr="00B7166F">
              <w:rPr>
                <w:rFonts w:asciiTheme="majorHAnsi" w:hAnsiTheme="majorHAnsi" w:cstheme="majorHAnsi"/>
                <w:b/>
                <w:noProof/>
                <w:lang w:val="nl-NL"/>
              </w:rPr>
              <w:pict>
                <v:line id="_x0000_s1026" style="position:absolute;left:0;text-align:left;z-index:251660288" from="38.85pt,2.6pt" to="116.85pt,2.6pt"/>
              </w:pict>
            </w:r>
            <w:r w:rsidR="00C10327" w:rsidRPr="002D0B55">
              <w:rPr>
                <w:rFonts w:asciiTheme="majorHAnsi" w:hAnsiTheme="majorHAnsi" w:cstheme="majorHAnsi"/>
                <w:lang w:val="nl-NL"/>
              </w:rPr>
              <w:t xml:space="preserve">Số:  </w:t>
            </w:r>
            <w:r w:rsidR="00226A76">
              <w:rPr>
                <w:rFonts w:asciiTheme="majorHAnsi" w:hAnsiTheme="majorHAnsi" w:cstheme="majorHAnsi"/>
                <w:lang w:val="nl-NL"/>
              </w:rPr>
              <w:t>05</w:t>
            </w:r>
            <w:r w:rsidR="00C10327" w:rsidRPr="002D0B55">
              <w:rPr>
                <w:rFonts w:asciiTheme="majorHAnsi" w:hAnsiTheme="majorHAnsi" w:cstheme="majorHAnsi"/>
                <w:lang w:val="nl-NL"/>
              </w:rPr>
              <w:t>/TTr-UBND</w:t>
            </w:r>
          </w:p>
        </w:tc>
        <w:tc>
          <w:tcPr>
            <w:tcW w:w="5954" w:type="dxa"/>
          </w:tcPr>
          <w:p w:rsidR="00C10327" w:rsidRPr="002D0B55" w:rsidRDefault="00C10327" w:rsidP="008B2AB9">
            <w:pPr>
              <w:jc w:val="center"/>
              <w:rPr>
                <w:rFonts w:asciiTheme="majorHAnsi" w:hAnsiTheme="majorHAnsi" w:cstheme="majorHAnsi"/>
                <w:b/>
                <w:lang w:val="nl-NL"/>
              </w:rPr>
            </w:pPr>
            <w:r w:rsidRPr="002D0B55">
              <w:rPr>
                <w:rFonts w:asciiTheme="majorHAnsi" w:hAnsiTheme="majorHAnsi" w:cstheme="majorHAnsi"/>
                <w:b/>
                <w:lang w:val="nl-NL"/>
              </w:rPr>
              <w:t>CỘNG HÒA XÃ HỘI CHỦ NGHĨA VIỆT NAM</w:t>
            </w:r>
          </w:p>
          <w:p w:rsidR="00C10327" w:rsidRPr="002D0B55" w:rsidRDefault="00C10327" w:rsidP="008B2AB9">
            <w:pPr>
              <w:jc w:val="center"/>
              <w:rPr>
                <w:rFonts w:asciiTheme="majorHAnsi" w:hAnsiTheme="majorHAnsi" w:cstheme="majorHAnsi"/>
                <w:b/>
                <w:sz w:val="28"/>
                <w:lang w:val="nl-NL"/>
              </w:rPr>
            </w:pPr>
            <w:r w:rsidRPr="002D0B55">
              <w:rPr>
                <w:rFonts w:asciiTheme="majorHAnsi" w:hAnsiTheme="majorHAnsi" w:cstheme="majorHAnsi"/>
                <w:b/>
                <w:sz w:val="28"/>
                <w:lang w:val="nl-NL"/>
              </w:rPr>
              <w:t>Độc lập – Tự do – Hạnh phúc</w:t>
            </w:r>
          </w:p>
          <w:p w:rsidR="00C10327" w:rsidRPr="002D0B55" w:rsidRDefault="00B7166F" w:rsidP="008B2AB9">
            <w:pPr>
              <w:jc w:val="center"/>
              <w:rPr>
                <w:rFonts w:asciiTheme="majorHAnsi" w:hAnsiTheme="majorHAnsi" w:cstheme="majorHAnsi"/>
                <w:b/>
                <w:lang w:val="nl-NL"/>
              </w:rPr>
            </w:pPr>
            <w:r w:rsidRPr="00B7166F">
              <w:rPr>
                <w:rFonts w:asciiTheme="majorHAnsi" w:hAnsiTheme="majorHAnsi" w:cstheme="majorHAnsi"/>
                <w:b/>
                <w:noProof/>
                <w:lang w:val="nl-NL"/>
              </w:rPr>
              <w:pict>
                <v:line id="_x0000_s1027" style="position:absolute;left:0;text-align:left;z-index:251661312" from="55.45pt,2.05pt" to="225.55pt,2.05pt"/>
              </w:pict>
            </w:r>
          </w:p>
          <w:p w:rsidR="00C10327" w:rsidRPr="002D0B55" w:rsidRDefault="00226A76" w:rsidP="000638B7">
            <w:pPr>
              <w:spacing w:before="120"/>
              <w:jc w:val="right"/>
              <w:rPr>
                <w:rFonts w:asciiTheme="majorHAnsi" w:hAnsiTheme="majorHAnsi" w:cstheme="majorHAnsi"/>
                <w:i/>
                <w:lang w:val="nl-NL"/>
              </w:rPr>
            </w:pPr>
            <w:r>
              <w:rPr>
                <w:rFonts w:asciiTheme="majorHAnsi" w:hAnsiTheme="majorHAnsi" w:cstheme="majorHAnsi"/>
                <w:i/>
                <w:lang w:val="nl-NL"/>
              </w:rPr>
              <w:t>Thạch Xuân</w:t>
            </w:r>
            <w:r w:rsidR="00C10327" w:rsidRPr="002D0B55">
              <w:rPr>
                <w:rFonts w:asciiTheme="majorHAnsi" w:hAnsiTheme="majorHAnsi" w:cstheme="majorHAnsi"/>
                <w:i/>
                <w:lang w:val="nl-NL"/>
              </w:rPr>
              <w:t xml:space="preserve">, ngày </w:t>
            </w:r>
            <w:r w:rsidR="000638B7">
              <w:rPr>
                <w:rFonts w:asciiTheme="majorHAnsi" w:hAnsiTheme="majorHAnsi" w:cstheme="majorHAnsi"/>
                <w:i/>
                <w:lang w:val="nl-NL"/>
              </w:rPr>
              <w:t>4</w:t>
            </w:r>
            <w:r w:rsidR="00DE6141" w:rsidRPr="002D0B55">
              <w:rPr>
                <w:rFonts w:asciiTheme="majorHAnsi" w:hAnsiTheme="majorHAnsi" w:cstheme="majorHAnsi"/>
                <w:i/>
                <w:lang w:val="nl-NL"/>
              </w:rPr>
              <w:t xml:space="preserve"> </w:t>
            </w:r>
            <w:r w:rsidR="00C10327" w:rsidRPr="002D0B55">
              <w:rPr>
                <w:rFonts w:asciiTheme="majorHAnsi" w:hAnsiTheme="majorHAnsi" w:cstheme="majorHAnsi"/>
                <w:i/>
                <w:lang w:val="nl-NL"/>
              </w:rPr>
              <w:t xml:space="preserve">tháng </w:t>
            </w:r>
            <w:r w:rsidR="000638B7">
              <w:rPr>
                <w:rFonts w:asciiTheme="majorHAnsi" w:hAnsiTheme="majorHAnsi" w:cstheme="majorHAnsi"/>
                <w:i/>
                <w:lang w:val="nl-NL"/>
              </w:rPr>
              <w:t>1</w:t>
            </w:r>
            <w:r w:rsidR="00DE6141" w:rsidRPr="002D0B55">
              <w:rPr>
                <w:rFonts w:asciiTheme="majorHAnsi" w:hAnsiTheme="majorHAnsi" w:cstheme="majorHAnsi"/>
                <w:i/>
                <w:lang w:val="nl-NL"/>
              </w:rPr>
              <w:t xml:space="preserve"> </w:t>
            </w:r>
            <w:r w:rsidR="00C10327" w:rsidRPr="002D0B55">
              <w:rPr>
                <w:rFonts w:asciiTheme="majorHAnsi" w:hAnsiTheme="majorHAnsi" w:cstheme="majorHAnsi"/>
                <w:i/>
                <w:lang w:val="nl-NL"/>
              </w:rPr>
              <w:t xml:space="preserve">năm </w:t>
            </w:r>
            <w:r w:rsidR="00DE6141" w:rsidRPr="002D0B55">
              <w:rPr>
                <w:rFonts w:asciiTheme="majorHAnsi" w:hAnsiTheme="majorHAnsi" w:cstheme="majorHAnsi"/>
                <w:i/>
                <w:lang w:val="nl-NL"/>
              </w:rPr>
              <w:t>202</w:t>
            </w:r>
            <w:r>
              <w:rPr>
                <w:rFonts w:asciiTheme="majorHAnsi" w:hAnsiTheme="majorHAnsi" w:cstheme="majorHAnsi"/>
                <w:i/>
                <w:lang w:val="nl-NL"/>
              </w:rPr>
              <w:t>4</w:t>
            </w:r>
          </w:p>
        </w:tc>
      </w:tr>
    </w:tbl>
    <w:p w:rsidR="00C10327" w:rsidRPr="002D0B55" w:rsidRDefault="00C10327" w:rsidP="00C10327">
      <w:pPr>
        <w:tabs>
          <w:tab w:val="left" w:pos="3780"/>
        </w:tabs>
        <w:jc w:val="center"/>
        <w:rPr>
          <w:rFonts w:asciiTheme="majorHAnsi" w:hAnsiTheme="majorHAnsi" w:cstheme="majorHAnsi"/>
          <w:b/>
          <w:sz w:val="14"/>
          <w:lang w:val="nl-NL"/>
        </w:rPr>
      </w:pPr>
    </w:p>
    <w:p w:rsidR="00C10327" w:rsidRPr="002D0B55" w:rsidRDefault="00C10327" w:rsidP="00C10327">
      <w:pPr>
        <w:tabs>
          <w:tab w:val="left" w:pos="3780"/>
        </w:tabs>
        <w:jc w:val="center"/>
        <w:rPr>
          <w:rFonts w:asciiTheme="majorHAnsi" w:hAnsiTheme="majorHAnsi" w:cstheme="majorHAnsi"/>
          <w:b/>
          <w:sz w:val="28"/>
          <w:szCs w:val="28"/>
          <w:lang w:val="nl-NL"/>
        </w:rPr>
      </w:pPr>
      <w:r w:rsidRPr="002D0B55">
        <w:rPr>
          <w:rFonts w:asciiTheme="majorHAnsi" w:hAnsiTheme="majorHAnsi" w:cstheme="majorHAnsi"/>
          <w:b/>
          <w:sz w:val="28"/>
          <w:szCs w:val="28"/>
          <w:lang w:val="nl-NL"/>
        </w:rPr>
        <w:t>TỜ TRÌNH</w:t>
      </w:r>
    </w:p>
    <w:p w:rsidR="00E96F20" w:rsidRPr="002D0B55" w:rsidRDefault="00C10327" w:rsidP="00E96F20">
      <w:pPr>
        <w:tabs>
          <w:tab w:val="left" w:pos="1140"/>
        </w:tabs>
        <w:jc w:val="center"/>
        <w:rPr>
          <w:rFonts w:asciiTheme="majorHAnsi" w:hAnsiTheme="majorHAnsi" w:cstheme="majorHAnsi"/>
          <w:b/>
          <w:sz w:val="28"/>
          <w:szCs w:val="28"/>
          <w:lang w:val="nl-NL"/>
        </w:rPr>
      </w:pPr>
      <w:r w:rsidRPr="002D0B55">
        <w:rPr>
          <w:rFonts w:asciiTheme="majorHAnsi" w:hAnsiTheme="majorHAnsi" w:cstheme="majorHAnsi"/>
          <w:b/>
          <w:sz w:val="28"/>
          <w:szCs w:val="28"/>
          <w:lang w:val="nl-NL"/>
        </w:rPr>
        <w:t xml:space="preserve">Về việc đề nghị </w:t>
      </w:r>
      <w:r w:rsidR="00977CE6">
        <w:rPr>
          <w:rFonts w:asciiTheme="majorHAnsi" w:hAnsiTheme="majorHAnsi" w:cstheme="majorHAnsi"/>
          <w:b/>
          <w:sz w:val="28"/>
          <w:szCs w:val="28"/>
          <w:lang w:val="nl-NL"/>
        </w:rPr>
        <w:t xml:space="preserve">ban hành thông báo </w:t>
      </w:r>
      <w:r w:rsidRPr="002D0B55">
        <w:rPr>
          <w:rFonts w:asciiTheme="majorHAnsi" w:hAnsiTheme="majorHAnsi" w:cstheme="majorHAnsi"/>
          <w:b/>
          <w:sz w:val="28"/>
          <w:szCs w:val="28"/>
          <w:lang w:val="nl-NL"/>
        </w:rPr>
        <w:t>thu hồi đất</w:t>
      </w:r>
      <w:r w:rsidR="000D456F" w:rsidRPr="002D0B55">
        <w:rPr>
          <w:rFonts w:asciiTheme="majorHAnsi" w:hAnsiTheme="majorHAnsi" w:cstheme="majorHAnsi"/>
          <w:b/>
          <w:sz w:val="28"/>
          <w:szCs w:val="28"/>
          <w:lang w:val="nl-NL"/>
        </w:rPr>
        <w:t xml:space="preserve"> </w:t>
      </w:r>
    </w:p>
    <w:p w:rsidR="00614B65" w:rsidRPr="002D0B55" w:rsidRDefault="000D456F" w:rsidP="00614B65">
      <w:pPr>
        <w:pStyle w:val="Heading3"/>
        <w:ind w:left="-86" w:right="-52"/>
        <w:rPr>
          <w:rFonts w:ascii="Times New Roman" w:hAnsi="Times New Roman"/>
          <w:bCs w:val="0"/>
          <w:i/>
          <w:spacing w:val="-6"/>
          <w:sz w:val="26"/>
          <w:szCs w:val="26"/>
          <w:lang w:val="nl-NL"/>
        </w:rPr>
      </w:pPr>
      <w:r w:rsidRPr="002D0B55">
        <w:rPr>
          <w:rFonts w:asciiTheme="majorHAnsi" w:hAnsiTheme="majorHAnsi" w:cstheme="majorHAnsi"/>
          <w:szCs w:val="28"/>
          <w:lang w:val="nl-NL"/>
        </w:rPr>
        <w:t xml:space="preserve">thực </w:t>
      </w:r>
      <w:r w:rsidR="00A24E86" w:rsidRPr="00A24E86">
        <w:rPr>
          <w:rFonts w:asciiTheme="majorHAnsi" w:hAnsiTheme="majorHAnsi" w:cstheme="majorHAnsi"/>
          <w:spacing w:val="-6"/>
          <w:sz w:val="26"/>
          <w:szCs w:val="26"/>
          <w:lang w:val="nl-NL"/>
        </w:rPr>
        <w:t xml:space="preserve">Dự án </w:t>
      </w:r>
      <w:r w:rsidR="00A24E86" w:rsidRPr="00A24E86">
        <w:rPr>
          <w:rFonts w:asciiTheme="majorHAnsi" w:hAnsiTheme="majorHAnsi" w:cstheme="majorHAnsi"/>
          <w:sz w:val="26"/>
          <w:szCs w:val="26"/>
          <w:lang w:val="nl-NL"/>
        </w:rPr>
        <w:t>Dự án Đường dây 500kV Quảng Trạch – Quỳnh Lưu</w:t>
      </w:r>
      <w:r w:rsidR="00A24E86" w:rsidRPr="00A24E86">
        <w:rPr>
          <w:rFonts w:asciiTheme="majorHAnsi" w:hAnsiTheme="majorHAnsi" w:cstheme="majorHAnsi"/>
          <w:spacing w:val="-6"/>
          <w:sz w:val="26"/>
          <w:szCs w:val="26"/>
          <w:lang w:val="nl-NL"/>
        </w:rPr>
        <w:t xml:space="preserve"> đoạn qua huyện Thạch Hà, tỉnh Hà Tĩnh</w:t>
      </w:r>
    </w:p>
    <w:p w:rsidR="00C10327" w:rsidRPr="002D0B55" w:rsidRDefault="00B7166F" w:rsidP="00614B65">
      <w:pPr>
        <w:tabs>
          <w:tab w:val="left" w:pos="1140"/>
        </w:tabs>
        <w:jc w:val="center"/>
        <w:rPr>
          <w:rFonts w:asciiTheme="majorHAnsi" w:hAnsiTheme="majorHAnsi" w:cstheme="majorHAnsi"/>
          <w:sz w:val="28"/>
          <w:szCs w:val="28"/>
          <w:lang w:val="nl-NL"/>
        </w:rPr>
      </w:pPr>
      <w:r w:rsidRPr="00B7166F">
        <w:rPr>
          <w:rFonts w:asciiTheme="majorHAnsi" w:hAnsiTheme="majorHAnsi" w:cstheme="majorHAnsi"/>
          <w:b/>
          <w:noProof/>
          <w:sz w:val="28"/>
          <w:szCs w:val="28"/>
          <w:lang w:val="nl-NL"/>
        </w:rPr>
        <w:pict>
          <v:line id="_x0000_s1028" style="position:absolute;left:0;text-align:left;z-index:251662336" from="191.4pt,1.8pt" to="269.4pt,1.8pt"/>
        </w:pict>
      </w:r>
    </w:p>
    <w:p w:rsidR="00C10327" w:rsidRPr="002D0B55" w:rsidRDefault="00C10327" w:rsidP="00A470D4">
      <w:pPr>
        <w:spacing w:before="120" w:after="120"/>
        <w:ind w:firstLine="720"/>
        <w:jc w:val="both"/>
        <w:rPr>
          <w:rFonts w:asciiTheme="majorHAnsi" w:hAnsiTheme="majorHAnsi" w:cstheme="majorHAnsi"/>
          <w:sz w:val="28"/>
          <w:szCs w:val="28"/>
          <w:lang w:val="nl-NL"/>
        </w:rPr>
      </w:pPr>
      <w:r w:rsidRPr="002D0B55">
        <w:rPr>
          <w:rFonts w:asciiTheme="majorHAnsi" w:hAnsiTheme="majorHAnsi" w:cstheme="majorHAnsi"/>
          <w:sz w:val="28"/>
          <w:szCs w:val="28"/>
          <w:lang w:val="nl-NL"/>
        </w:rPr>
        <w:t>Căn cứ Luật Đất đai ngày 29 tháng 11 năm 2013;</w:t>
      </w:r>
    </w:p>
    <w:p w:rsidR="00A470D4" w:rsidRPr="002D0B55" w:rsidRDefault="00C10327" w:rsidP="00A470D4">
      <w:pPr>
        <w:spacing w:before="120" w:after="120"/>
        <w:ind w:firstLine="720"/>
        <w:jc w:val="both"/>
        <w:rPr>
          <w:spacing w:val="-10"/>
          <w:sz w:val="28"/>
          <w:szCs w:val="28"/>
          <w:lang w:val="nl-NL"/>
        </w:rPr>
      </w:pPr>
      <w:r w:rsidRPr="002D0B55">
        <w:rPr>
          <w:rFonts w:asciiTheme="majorHAnsi" w:hAnsiTheme="majorHAnsi" w:cstheme="majorHAnsi"/>
          <w:sz w:val="28"/>
          <w:szCs w:val="28"/>
          <w:lang w:val="nl-NL"/>
        </w:rPr>
        <w:t xml:space="preserve">Căn cứ Nghị định số 47/2014/NĐ-CP ngày 15/5/2014 của Chính phủ quy định về bồi thường, hỗ trợ và tái định cư khi Nhà nước thu hồi đất; </w:t>
      </w:r>
      <w:r w:rsidR="00A470D4" w:rsidRPr="002D0B55">
        <w:rPr>
          <w:spacing w:val="-10"/>
          <w:sz w:val="28"/>
          <w:szCs w:val="28"/>
          <w:lang w:val="nl-NL"/>
        </w:rPr>
        <w:t>Nghị định số 01/2017/NĐ-CP</w:t>
      </w:r>
      <w:r w:rsidR="00444FC3">
        <w:rPr>
          <w:spacing w:val="-10"/>
          <w:sz w:val="28"/>
          <w:szCs w:val="28"/>
          <w:lang w:val="nl-NL"/>
        </w:rPr>
        <w:t xml:space="preserve"> ngày 06/01/2017 của Chính phủ </w:t>
      </w:r>
      <w:r w:rsidR="00A470D4" w:rsidRPr="002D0B55">
        <w:rPr>
          <w:spacing w:val="-10"/>
          <w:sz w:val="28"/>
          <w:szCs w:val="28"/>
          <w:lang w:val="nl-NL"/>
        </w:rPr>
        <w:t>sửa đổi, bổ sung một số nghị định quy định chi tiết thi hành Luật đất đai;</w:t>
      </w:r>
    </w:p>
    <w:p w:rsidR="00A470D4" w:rsidRPr="002D0B55" w:rsidRDefault="00C10327" w:rsidP="00A470D4">
      <w:pPr>
        <w:spacing w:before="120" w:after="120"/>
        <w:ind w:firstLine="720"/>
        <w:jc w:val="both"/>
        <w:rPr>
          <w:spacing w:val="-8"/>
          <w:sz w:val="28"/>
          <w:szCs w:val="28"/>
          <w:lang w:val="nl-NL"/>
        </w:rPr>
      </w:pPr>
      <w:r w:rsidRPr="002D0B55">
        <w:rPr>
          <w:rFonts w:asciiTheme="majorHAnsi" w:hAnsiTheme="majorHAnsi" w:cstheme="majorHAnsi"/>
          <w:spacing w:val="-4"/>
          <w:sz w:val="28"/>
          <w:szCs w:val="28"/>
          <w:lang w:val="nl-NL"/>
        </w:rPr>
        <w:t>Căn cứ Thông tư số 37/2014/TT-BTNMT ngày 30/6/2014 của Bộ Tài nguyên và môi trường quy định chi tiết về bồi thường, hỗ trợ và tái định cư khi Nhà nước thu hồi đất;</w:t>
      </w:r>
      <w:r w:rsidR="00A470D4" w:rsidRPr="002D0B55">
        <w:rPr>
          <w:spacing w:val="-8"/>
          <w:sz w:val="28"/>
          <w:szCs w:val="28"/>
          <w:lang w:val="nl-NL"/>
        </w:rPr>
        <w:t xml:space="preserve"> Thông tư số 33/2014/TT-BTNMT ngày 29/9/2017 của Bộ Tài nguyên và Môi trường quy định chi tiết Nghị định số 01/2017/NĐ-CP ngày 06/01/2017 của Chính phủ;</w:t>
      </w:r>
    </w:p>
    <w:p w:rsidR="001E155C" w:rsidRPr="002D0B55" w:rsidRDefault="001E155C" w:rsidP="001E155C">
      <w:pPr>
        <w:spacing w:before="120" w:after="120"/>
        <w:ind w:firstLine="720"/>
        <w:jc w:val="both"/>
        <w:rPr>
          <w:spacing w:val="-8"/>
          <w:sz w:val="28"/>
          <w:szCs w:val="28"/>
          <w:lang w:val="nl-NL"/>
        </w:rPr>
      </w:pPr>
      <w:r w:rsidRPr="002D0B55">
        <w:rPr>
          <w:rFonts w:asciiTheme="majorHAnsi" w:hAnsiTheme="majorHAnsi" w:cstheme="majorHAnsi"/>
          <w:spacing w:val="-4"/>
          <w:sz w:val="28"/>
          <w:szCs w:val="28"/>
          <w:lang w:val="nl-NL"/>
        </w:rPr>
        <w:t>Căn cứ Thông tư số 30/2014/TT-BTNMT ngày 02/6/2014 của Bộ Tài nguyên và Môi trường quy định về hồ sơ giao đất, cho thuê đất, chuyển mục đích sử dụng đất, thu hồi đất;</w:t>
      </w:r>
    </w:p>
    <w:p w:rsidR="00C74E2A" w:rsidRDefault="00C74E2A" w:rsidP="00C74E2A">
      <w:pPr>
        <w:spacing w:before="80" w:after="80"/>
        <w:ind w:firstLine="720"/>
        <w:jc w:val="both"/>
        <w:rPr>
          <w:sz w:val="28"/>
          <w:szCs w:val="28"/>
          <w:lang w:val="nl-NL"/>
        </w:rPr>
      </w:pPr>
      <w:r w:rsidRPr="002D0B55">
        <w:rPr>
          <w:sz w:val="28"/>
          <w:szCs w:val="28"/>
          <w:lang w:val="nl-NL"/>
        </w:rPr>
        <w:t>Căn cứ Quyết định số 75/2014/QĐ-UBND ngày 03/11/2014 của UBND tỉnh Hà Tĩnh ban hành Quy định chính sách bồi thường, hỗ trợ, tái định cư khi Nhà nước thu hồi đất trên địa bàn tỉnh Hà Tĩnh; Quyết định số 34/2018/QĐ-UBND ngày 02/10/2018 của UBND tỉnh Hà Tĩnh về việc sửa đổi, bổ sung một số điều của quy định chính sách bồi thường, hỗ trợ và tái định cư khi Nhà nước thu hồi đất trên địa bàn tỉnh Hà Tĩnh; Quyết định số 30/2023/QĐ-UBND ngày 30/6/2023 của UBND tỉnh Hà Tĩnh Sửa đổi, bổ sung một số điều của Quy định ban hành kèm theo Quyết định số 75/2014/QĐ-UBND ngày 03/11/2014 của UBND tỉnh;</w:t>
      </w:r>
    </w:p>
    <w:p w:rsidR="00A24E86" w:rsidRPr="00A24E86" w:rsidRDefault="00A24E86" w:rsidP="00A24E86">
      <w:pPr>
        <w:spacing w:before="120" w:after="120"/>
        <w:ind w:firstLine="720"/>
        <w:jc w:val="both"/>
        <w:rPr>
          <w:bCs/>
          <w:spacing w:val="-6"/>
          <w:sz w:val="28"/>
          <w:szCs w:val="28"/>
          <w:lang w:val="nl-NL"/>
        </w:rPr>
      </w:pPr>
      <w:r w:rsidRPr="00A24E86">
        <w:rPr>
          <w:sz w:val="28"/>
          <w:szCs w:val="28"/>
          <w:lang w:val="nl-NL"/>
        </w:rPr>
        <w:t xml:space="preserve">Căn cứ Quyết định số </w:t>
      </w:r>
      <w:r>
        <w:rPr>
          <w:sz w:val="28"/>
          <w:szCs w:val="28"/>
          <w:lang w:val="nl-NL"/>
        </w:rPr>
        <w:t>1507/QĐ-TTg</w:t>
      </w:r>
      <w:r w:rsidRPr="00A24E86">
        <w:rPr>
          <w:sz w:val="28"/>
          <w:szCs w:val="28"/>
          <w:lang w:val="nl-NL"/>
        </w:rPr>
        <w:t xml:space="preserve"> ngày </w:t>
      </w:r>
      <w:r>
        <w:rPr>
          <w:sz w:val="28"/>
          <w:szCs w:val="28"/>
          <w:lang w:val="nl-NL"/>
        </w:rPr>
        <w:t>01/12</w:t>
      </w:r>
      <w:r w:rsidRPr="00A24E86">
        <w:rPr>
          <w:sz w:val="28"/>
          <w:szCs w:val="28"/>
          <w:lang w:val="nl-NL"/>
        </w:rPr>
        <w:t xml:space="preserve">/2023 của </w:t>
      </w:r>
      <w:r>
        <w:rPr>
          <w:sz w:val="28"/>
          <w:szCs w:val="28"/>
          <w:lang w:val="nl-NL"/>
        </w:rPr>
        <w:t>Thủ tướng chính phủ về việc chấp thuận chủ trương đầu tư đồng thời chấp thuận nhà đầu tư</w:t>
      </w:r>
      <w:r w:rsidRPr="00A24E86">
        <w:rPr>
          <w:sz w:val="28"/>
          <w:szCs w:val="28"/>
          <w:lang w:val="nl-NL"/>
        </w:rPr>
        <w:t xml:space="preserve"> Dự án Đường dây 500kV Quảng Trạch – Quỳnh Lưu</w:t>
      </w:r>
      <w:r w:rsidRPr="00A24E86">
        <w:rPr>
          <w:iCs/>
          <w:color w:val="000000"/>
          <w:sz w:val="28"/>
          <w:szCs w:val="28"/>
          <w:lang w:val="nl-NL"/>
        </w:rPr>
        <w:t>;</w:t>
      </w:r>
    </w:p>
    <w:p w:rsidR="00C75EBB" w:rsidRPr="00A24E86" w:rsidRDefault="00C75EBB" w:rsidP="00C75EBB">
      <w:pPr>
        <w:spacing w:before="120" w:after="120"/>
        <w:ind w:firstLine="720"/>
        <w:jc w:val="both"/>
        <w:rPr>
          <w:bCs/>
          <w:spacing w:val="-6"/>
          <w:sz w:val="28"/>
          <w:szCs w:val="28"/>
          <w:lang w:val="nl-NL"/>
        </w:rPr>
      </w:pPr>
      <w:r w:rsidRPr="00A24E86">
        <w:rPr>
          <w:sz w:val="28"/>
          <w:szCs w:val="28"/>
          <w:lang w:val="nl-NL"/>
        </w:rPr>
        <w:t xml:space="preserve">Căn cứ </w:t>
      </w:r>
      <w:r w:rsidR="00A24E86" w:rsidRPr="00A24E86">
        <w:rPr>
          <w:sz w:val="28"/>
          <w:szCs w:val="28"/>
          <w:lang w:val="nl-NL"/>
        </w:rPr>
        <w:t>Quyết định số 305/QĐ-HĐTV ngày 15/12/2023 của Tổng công ty truyền tải điện quốc gia về việc phê duyệt Dự án Đường dây 500kV Quảng Trạch – Quỳnh Lưu</w:t>
      </w:r>
      <w:r w:rsidR="00A24E86" w:rsidRPr="00A24E86">
        <w:rPr>
          <w:iCs/>
          <w:color w:val="000000"/>
          <w:sz w:val="28"/>
          <w:szCs w:val="28"/>
          <w:lang w:val="nl-NL"/>
        </w:rPr>
        <w:t>;</w:t>
      </w:r>
    </w:p>
    <w:p w:rsidR="00A24E86" w:rsidRPr="006F6A39" w:rsidRDefault="00A24E86" w:rsidP="00A24E86">
      <w:pPr>
        <w:pStyle w:val="BodyTextIndent"/>
        <w:spacing w:after="0" w:line="264" w:lineRule="auto"/>
        <w:ind w:left="0" w:firstLine="709"/>
        <w:jc w:val="both"/>
        <w:rPr>
          <w:b/>
          <w:bCs/>
          <w:spacing w:val="-10"/>
          <w:sz w:val="28"/>
          <w:szCs w:val="28"/>
          <w:lang w:val="nl-NL"/>
        </w:rPr>
      </w:pPr>
      <w:r w:rsidRPr="006F6A39">
        <w:rPr>
          <w:spacing w:val="-10"/>
          <w:sz w:val="28"/>
          <w:szCs w:val="28"/>
          <w:lang w:val="nl-NL"/>
        </w:rPr>
        <w:t>Căn cứ Quyết định số 3384/QĐ-UBND ngày 20/12/2023 của UBND tỉnh Hà Tĩnh về việc phê duyệt bổ sung Kế hoạch sử dụng đất năm 2023 của các huyện</w:t>
      </w:r>
      <w:r w:rsidRPr="006F6A39">
        <w:rPr>
          <w:b/>
          <w:bCs/>
          <w:spacing w:val="-10"/>
          <w:sz w:val="28"/>
          <w:szCs w:val="28"/>
          <w:lang w:val="nl-NL"/>
        </w:rPr>
        <w:t xml:space="preserve"> </w:t>
      </w:r>
      <w:r w:rsidRPr="006F6A39">
        <w:rPr>
          <w:rStyle w:val="fontstyle01"/>
          <w:b w:val="0"/>
          <w:bCs w:val="0"/>
          <w:lang w:val="nl-NL"/>
        </w:rPr>
        <w:t>Kỳ Anh, Cẩm Xuyên, Thạch Hà, Can Lộc, Đức Thọ, Hương Sơn, Vũ Quang, Hương Khê và thị xã Kỳ Anh</w:t>
      </w:r>
      <w:r w:rsidRPr="006F6A39">
        <w:rPr>
          <w:b/>
          <w:bCs/>
          <w:spacing w:val="-10"/>
          <w:sz w:val="28"/>
          <w:szCs w:val="28"/>
          <w:lang w:val="nl-NL"/>
        </w:rPr>
        <w:t>;</w:t>
      </w:r>
    </w:p>
    <w:p w:rsidR="00EC3FD8" w:rsidRPr="002D0B55" w:rsidRDefault="00C10327" w:rsidP="00C75EBB">
      <w:pPr>
        <w:pStyle w:val="BodyText"/>
        <w:spacing w:before="120" w:after="120" w:line="240" w:lineRule="auto"/>
        <w:ind w:firstLine="720"/>
        <w:rPr>
          <w:rFonts w:asciiTheme="majorHAnsi" w:hAnsiTheme="majorHAnsi" w:cstheme="majorHAnsi"/>
          <w:color w:val="auto"/>
          <w:sz w:val="28"/>
          <w:szCs w:val="28"/>
          <w:vertAlign w:val="superscript"/>
          <w:lang w:val="nl-NL"/>
        </w:rPr>
      </w:pPr>
      <w:r w:rsidRPr="002D0B55">
        <w:rPr>
          <w:rFonts w:asciiTheme="majorHAnsi" w:hAnsiTheme="majorHAnsi" w:cstheme="majorHAnsi"/>
          <w:color w:val="auto"/>
          <w:sz w:val="28"/>
          <w:szCs w:val="28"/>
          <w:lang w:val="nl-NL"/>
        </w:rPr>
        <w:lastRenderedPageBreak/>
        <w:t xml:space="preserve">Ủy ban nhân dân xã </w:t>
      </w:r>
      <w:r w:rsidR="00D03FD4">
        <w:rPr>
          <w:rFonts w:asciiTheme="majorHAnsi" w:hAnsiTheme="majorHAnsi" w:cstheme="majorHAnsi"/>
          <w:color w:val="auto"/>
          <w:sz w:val="28"/>
          <w:szCs w:val="28"/>
          <w:lang w:val="nl-NL"/>
        </w:rPr>
        <w:t>Thạch Xuân</w:t>
      </w:r>
      <w:r w:rsidR="003B054F" w:rsidRPr="002D0B55">
        <w:rPr>
          <w:rFonts w:asciiTheme="majorHAnsi" w:hAnsiTheme="majorHAnsi" w:cstheme="majorHAnsi"/>
          <w:color w:val="auto"/>
          <w:sz w:val="28"/>
          <w:szCs w:val="28"/>
          <w:lang w:val="nl-NL"/>
        </w:rPr>
        <w:t xml:space="preserve"> </w:t>
      </w:r>
      <w:r w:rsidRPr="002D0B55">
        <w:rPr>
          <w:rFonts w:asciiTheme="majorHAnsi" w:hAnsiTheme="majorHAnsi" w:cstheme="majorHAnsi"/>
          <w:color w:val="auto"/>
          <w:sz w:val="28"/>
          <w:szCs w:val="28"/>
          <w:lang w:val="nl-NL"/>
        </w:rPr>
        <w:t xml:space="preserve">kính đề nghị UBND huyện Thạch Hà, phòng Tài nguyên và Môi trường </w:t>
      </w:r>
      <w:r w:rsidR="00E96F20" w:rsidRPr="002D0B55">
        <w:rPr>
          <w:rFonts w:asciiTheme="majorHAnsi" w:hAnsiTheme="majorHAnsi" w:cstheme="majorHAnsi"/>
          <w:color w:val="auto"/>
          <w:sz w:val="28"/>
          <w:szCs w:val="28"/>
          <w:lang w:val="nl-NL"/>
        </w:rPr>
        <w:t xml:space="preserve">ban hành thông báo </w:t>
      </w:r>
      <w:r w:rsidRPr="002D0B55">
        <w:rPr>
          <w:rFonts w:asciiTheme="majorHAnsi" w:hAnsiTheme="majorHAnsi" w:cstheme="majorHAnsi"/>
          <w:color w:val="auto"/>
          <w:sz w:val="28"/>
          <w:szCs w:val="28"/>
          <w:lang w:val="nl-NL"/>
        </w:rPr>
        <w:t>thu hồi diện tích</w:t>
      </w:r>
      <w:r w:rsidR="00AF7CB4" w:rsidRPr="002D0B55">
        <w:rPr>
          <w:rFonts w:asciiTheme="majorHAnsi" w:hAnsiTheme="majorHAnsi" w:cstheme="majorHAnsi"/>
          <w:color w:val="auto"/>
          <w:sz w:val="28"/>
          <w:szCs w:val="28"/>
          <w:lang w:val="nl-NL"/>
        </w:rPr>
        <w:t xml:space="preserve">: </w:t>
      </w:r>
      <w:r w:rsidR="00CA4848">
        <w:rPr>
          <w:rFonts w:asciiTheme="majorHAnsi" w:hAnsiTheme="majorHAnsi" w:cstheme="majorHAnsi"/>
          <w:b/>
          <w:color w:val="FF0000"/>
          <w:sz w:val="28"/>
          <w:szCs w:val="28"/>
          <w:lang w:val="nl-NL"/>
        </w:rPr>
        <w:t>685.5</w:t>
      </w:r>
      <w:r w:rsidR="00AF7CB4" w:rsidRPr="00A24E86">
        <w:rPr>
          <w:rFonts w:asciiTheme="majorHAnsi" w:hAnsiTheme="majorHAnsi" w:cstheme="majorHAnsi"/>
          <w:b/>
          <w:color w:val="FF0000"/>
          <w:sz w:val="28"/>
          <w:szCs w:val="28"/>
          <w:lang w:val="nl-NL"/>
        </w:rPr>
        <w:t xml:space="preserve"> </w:t>
      </w:r>
      <w:r w:rsidRPr="00A24E86">
        <w:rPr>
          <w:rFonts w:asciiTheme="majorHAnsi" w:hAnsiTheme="majorHAnsi" w:cstheme="majorHAnsi"/>
          <w:b/>
          <w:color w:val="FF0000"/>
          <w:sz w:val="28"/>
          <w:szCs w:val="28"/>
          <w:lang w:val="nl-NL"/>
        </w:rPr>
        <w:t>m</w:t>
      </w:r>
      <w:r w:rsidRPr="00A24E86">
        <w:rPr>
          <w:rFonts w:asciiTheme="majorHAnsi" w:hAnsiTheme="majorHAnsi" w:cstheme="majorHAnsi"/>
          <w:b/>
          <w:color w:val="FF0000"/>
          <w:sz w:val="28"/>
          <w:szCs w:val="28"/>
          <w:vertAlign w:val="superscript"/>
          <w:lang w:val="nl-NL"/>
        </w:rPr>
        <w:t>2</w:t>
      </w:r>
      <w:r w:rsidRPr="00A24E86">
        <w:rPr>
          <w:rFonts w:asciiTheme="majorHAnsi" w:hAnsiTheme="majorHAnsi" w:cstheme="majorHAnsi"/>
          <w:color w:val="FF0000"/>
          <w:sz w:val="28"/>
          <w:szCs w:val="28"/>
          <w:lang w:val="nl-NL"/>
        </w:rPr>
        <w:t xml:space="preserve"> (</w:t>
      </w:r>
      <w:r w:rsidR="00CA4848">
        <w:rPr>
          <w:rFonts w:asciiTheme="majorHAnsi" w:hAnsiTheme="majorHAnsi" w:cstheme="majorHAnsi"/>
          <w:i/>
          <w:color w:val="FF0000"/>
          <w:sz w:val="28"/>
          <w:szCs w:val="28"/>
          <w:lang w:val="nl-NL"/>
        </w:rPr>
        <w:t>Sáu trăm tám mươi lăm phẩy năm mét vuông</w:t>
      </w:r>
      <w:r w:rsidRPr="00A24E86">
        <w:rPr>
          <w:rFonts w:asciiTheme="majorHAnsi" w:hAnsiTheme="majorHAnsi" w:cstheme="majorHAnsi"/>
          <w:i/>
          <w:color w:val="FF0000"/>
          <w:sz w:val="28"/>
          <w:szCs w:val="28"/>
          <w:lang w:val="nl-NL"/>
        </w:rPr>
        <w:t>)</w:t>
      </w:r>
      <w:r w:rsidRPr="00A24E86">
        <w:rPr>
          <w:rFonts w:asciiTheme="majorHAnsi" w:hAnsiTheme="majorHAnsi" w:cstheme="majorHAnsi"/>
          <w:color w:val="FF0000"/>
          <w:sz w:val="28"/>
          <w:szCs w:val="28"/>
          <w:lang w:val="nl-NL"/>
        </w:rPr>
        <w:t>.</w:t>
      </w:r>
      <w:r w:rsidRPr="002D0B55">
        <w:rPr>
          <w:rFonts w:asciiTheme="majorHAnsi" w:hAnsiTheme="majorHAnsi" w:cstheme="majorHAnsi"/>
          <w:color w:val="auto"/>
          <w:sz w:val="28"/>
          <w:szCs w:val="28"/>
          <w:lang w:val="nl-NL"/>
        </w:rPr>
        <w:t xml:space="preserve"> </w:t>
      </w:r>
    </w:p>
    <w:p w:rsidR="00C10327" w:rsidRPr="002D0B55" w:rsidRDefault="00C10327" w:rsidP="00A470D4">
      <w:pPr>
        <w:pStyle w:val="BodyText"/>
        <w:spacing w:before="120" w:after="120" w:line="240" w:lineRule="auto"/>
        <w:ind w:firstLine="720"/>
        <w:rPr>
          <w:rFonts w:asciiTheme="majorHAnsi" w:hAnsiTheme="majorHAnsi" w:cstheme="majorHAnsi"/>
          <w:color w:val="auto"/>
          <w:sz w:val="28"/>
          <w:szCs w:val="28"/>
          <w:lang w:val="nl-NL"/>
        </w:rPr>
      </w:pPr>
      <w:r w:rsidRPr="002D0B55">
        <w:rPr>
          <w:rFonts w:asciiTheme="majorHAnsi" w:hAnsiTheme="majorHAnsi" w:cstheme="majorHAnsi"/>
          <w:color w:val="auto"/>
          <w:sz w:val="28"/>
          <w:szCs w:val="28"/>
          <w:lang w:val="nl-NL"/>
        </w:rPr>
        <w:t xml:space="preserve">Vị trí các thửa đất: Được xác định trên tờ bản đồ </w:t>
      </w:r>
      <w:r w:rsidR="008C07C5" w:rsidRPr="002D0B55">
        <w:rPr>
          <w:rFonts w:asciiTheme="majorHAnsi" w:hAnsiTheme="majorHAnsi" w:cstheme="majorHAnsi"/>
          <w:color w:val="auto"/>
          <w:sz w:val="28"/>
          <w:szCs w:val="28"/>
          <w:lang w:val="nl-NL"/>
        </w:rPr>
        <w:t>trích lục</w:t>
      </w:r>
      <w:r w:rsidRPr="002D0B55">
        <w:rPr>
          <w:rFonts w:asciiTheme="majorHAnsi" w:hAnsiTheme="majorHAnsi" w:cstheme="majorHAnsi"/>
          <w:color w:val="auto"/>
          <w:sz w:val="28"/>
          <w:szCs w:val="28"/>
          <w:lang w:val="nl-NL"/>
        </w:rPr>
        <w:t xml:space="preserve"> địa chính xã </w:t>
      </w:r>
      <w:r w:rsidR="00CA4848">
        <w:rPr>
          <w:rFonts w:asciiTheme="majorHAnsi" w:hAnsiTheme="majorHAnsi" w:cstheme="majorHAnsi"/>
          <w:color w:val="auto"/>
          <w:sz w:val="28"/>
          <w:szCs w:val="28"/>
          <w:lang w:val="nl-NL"/>
        </w:rPr>
        <w:t>Thạch Xuân</w:t>
      </w:r>
      <w:r w:rsidR="00E96F20" w:rsidRPr="002D0B55">
        <w:rPr>
          <w:rFonts w:asciiTheme="majorHAnsi" w:hAnsiTheme="majorHAnsi" w:cstheme="majorHAnsi"/>
          <w:color w:val="auto"/>
          <w:sz w:val="28"/>
          <w:szCs w:val="28"/>
          <w:lang w:val="nl-NL"/>
        </w:rPr>
        <w:t xml:space="preserve"> </w:t>
      </w:r>
      <w:r w:rsidRPr="002D0B55">
        <w:rPr>
          <w:rFonts w:asciiTheme="majorHAnsi" w:hAnsiTheme="majorHAnsi" w:cstheme="majorHAnsi"/>
          <w:color w:val="auto"/>
          <w:sz w:val="28"/>
          <w:szCs w:val="28"/>
          <w:lang w:val="nl-NL"/>
        </w:rPr>
        <w:t xml:space="preserve">đã được các cấp công nhận và phê duyệt. </w:t>
      </w:r>
      <w:r w:rsidRPr="002D0B55">
        <w:rPr>
          <w:rFonts w:asciiTheme="majorHAnsi" w:hAnsiTheme="majorHAnsi" w:cstheme="majorHAnsi"/>
          <w:i/>
          <w:color w:val="auto"/>
          <w:sz w:val="28"/>
          <w:szCs w:val="28"/>
          <w:lang w:val="nl-NL"/>
        </w:rPr>
        <w:t xml:space="preserve">(có danh sách thống kê </w:t>
      </w:r>
      <w:r w:rsidR="00AD1B3A" w:rsidRPr="002D0B55">
        <w:rPr>
          <w:rFonts w:asciiTheme="majorHAnsi" w:hAnsiTheme="majorHAnsi" w:cstheme="majorHAnsi"/>
          <w:i/>
          <w:color w:val="auto"/>
          <w:sz w:val="28"/>
          <w:szCs w:val="28"/>
          <w:lang w:val="nl-NL"/>
        </w:rPr>
        <w:t xml:space="preserve">các thửa đất đề nghị </w:t>
      </w:r>
      <w:r w:rsidR="00E96F20" w:rsidRPr="002D0B55">
        <w:rPr>
          <w:rFonts w:asciiTheme="majorHAnsi" w:hAnsiTheme="majorHAnsi" w:cstheme="majorHAnsi"/>
          <w:i/>
          <w:color w:val="auto"/>
          <w:sz w:val="28"/>
          <w:szCs w:val="28"/>
          <w:lang w:val="nl-NL"/>
        </w:rPr>
        <w:t xml:space="preserve">thông báo </w:t>
      </w:r>
      <w:r w:rsidR="00AD1B3A" w:rsidRPr="002D0B55">
        <w:rPr>
          <w:rFonts w:asciiTheme="majorHAnsi" w:hAnsiTheme="majorHAnsi" w:cstheme="majorHAnsi"/>
          <w:i/>
          <w:color w:val="auto"/>
          <w:sz w:val="28"/>
          <w:szCs w:val="28"/>
          <w:lang w:val="nl-NL"/>
        </w:rPr>
        <w:t>thu hồi và</w:t>
      </w:r>
      <w:r w:rsidRPr="002D0B55">
        <w:rPr>
          <w:rFonts w:asciiTheme="majorHAnsi" w:hAnsiTheme="majorHAnsi" w:cstheme="majorHAnsi"/>
          <w:i/>
          <w:color w:val="auto"/>
          <w:sz w:val="28"/>
          <w:szCs w:val="28"/>
          <w:lang w:val="nl-NL"/>
        </w:rPr>
        <w:t xml:space="preserve"> bản đồ kèm theo)</w:t>
      </w:r>
      <w:r w:rsidRPr="002D0B55">
        <w:rPr>
          <w:rFonts w:asciiTheme="majorHAnsi" w:hAnsiTheme="majorHAnsi" w:cstheme="majorHAnsi"/>
          <w:color w:val="auto"/>
          <w:sz w:val="28"/>
          <w:szCs w:val="28"/>
          <w:lang w:val="nl-NL"/>
        </w:rPr>
        <w:t>.</w:t>
      </w:r>
    </w:p>
    <w:p w:rsidR="000D456F" w:rsidRPr="002D0B55" w:rsidRDefault="00DE6141" w:rsidP="00A470D4">
      <w:pPr>
        <w:spacing w:before="120" w:after="120"/>
        <w:jc w:val="both"/>
        <w:rPr>
          <w:rFonts w:asciiTheme="majorHAnsi" w:hAnsiTheme="majorHAnsi" w:cstheme="majorHAnsi"/>
          <w:sz w:val="28"/>
          <w:szCs w:val="28"/>
          <w:lang w:val="nl-NL"/>
        </w:rPr>
      </w:pPr>
      <w:r w:rsidRPr="002D0B55">
        <w:rPr>
          <w:rFonts w:asciiTheme="majorHAnsi" w:hAnsiTheme="majorHAnsi" w:cstheme="majorHAnsi"/>
          <w:sz w:val="28"/>
          <w:szCs w:val="28"/>
          <w:lang w:val="nl-NL"/>
        </w:rPr>
        <w:tab/>
      </w:r>
      <w:r w:rsidR="00C10327" w:rsidRPr="002D0B55">
        <w:rPr>
          <w:rFonts w:asciiTheme="majorHAnsi" w:hAnsiTheme="majorHAnsi" w:cstheme="majorHAnsi"/>
          <w:sz w:val="28"/>
          <w:szCs w:val="28"/>
          <w:lang w:val="nl-NL"/>
        </w:rPr>
        <w:t xml:space="preserve">Mục đích sử dụng đất sau khi thu hồi: </w:t>
      </w:r>
      <w:r w:rsidR="00A24E86" w:rsidRPr="00A24E86">
        <w:rPr>
          <w:rFonts w:asciiTheme="majorHAnsi" w:hAnsiTheme="majorHAnsi" w:cstheme="majorHAnsi"/>
          <w:spacing w:val="-6"/>
          <w:lang w:val="nl-NL"/>
        </w:rPr>
        <w:t xml:space="preserve">Dự án </w:t>
      </w:r>
      <w:r w:rsidR="00A24E86" w:rsidRPr="00A24E86">
        <w:rPr>
          <w:rFonts w:asciiTheme="majorHAnsi" w:hAnsiTheme="majorHAnsi" w:cstheme="majorHAnsi"/>
          <w:lang w:val="nl-NL"/>
        </w:rPr>
        <w:t>Dự án Đường dây 500kV Quảng Trạch – Quỳnh Lưu</w:t>
      </w:r>
      <w:r w:rsidR="00A24E86" w:rsidRPr="00A24E86">
        <w:rPr>
          <w:rFonts w:asciiTheme="majorHAnsi" w:hAnsiTheme="majorHAnsi" w:cstheme="majorHAnsi"/>
          <w:spacing w:val="-6"/>
          <w:lang w:val="nl-NL"/>
        </w:rPr>
        <w:t xml:space="preserve"> đoạn qua huyện Thạch Hà, tỉnh Hà Tĩnh</w:t>
      </w:r>
      <w:r w:rsidR="00C75EBB" w:rsidRPr="002D0B55">
        <w:rPr>
          <w:rFonts w:asciiTheme="majorHAnsi" w:hAnsiTheme="majorHAnsi" w:cstheme="majorHAnsi"/>
          <w:sz w:val="28"/>
          <w:szCs w:val="28"/>
          <w:lang w:val="nl-NL"/>
        </w:rPr>
        <w:t>;</w:t>
      </w:r>
    </w:p>
    <w:p w:rsidR="00A470D4" w:rsidRPr="002D0B55" w:rsidRDefault="00C10327" w:rsidP="000238AF">
      <w:pPr>
        <w:pStyle w:val="Heading3"/>
        <w:spacing w:before="120" w:after="120"/>
        <w:ind w:left="-86" w:firstLine="806"/>
        <w:jc w:val="both"/>
        <w:rPr>
          <w:rFonts w:asciiTheme="majorHAnsi" w:hAnsiTheme="majorHAnsi" w:cstheme="majorHAnsi"/>
          <w:b w:val="0"/>
          <w:szCs w:val="28"/>
          <w:lang w:val="nl-NL"/>
        </w:rPr>
      </w:pPr>
      <w:r w:rsidRPr="002D0B55">
        <w:rPr>
          <w:rFonts w:asciiTheme="majorHAnsi" w:hAnsiTheme="majorHAnsi" w:cstheme="majorHAnsi"/>
          <w:b w:val="0"/>
          <w:szCs w:val="28"/>
          <w:lang w:val="nl-NL"/>
        </w:rPr>
        <w:t xml:space="preserve">Vậy, UBND xã </w:t>
      </w:r>
      <w:r w:rsidR="00CA4848">
        <w:rPr>
          <w:rFonts w:asciiTheme="majorHAnsi" w:hAnsiTheme="majorHAnsi" w:cstheme="majorHAnsi"/>
          <w:b w:val="0"/>
          <w:szCs w:val="28"/>
          <w:lang w:val="nl-NL"/>
        </w:rPr>
        <w:t>Thạch Xuân</w:t>
      </w:r>
      <w:r w:rsidR="00EB794C" w:rsidRPr="002D0B55">
        <w:rPr>
          <w:rFonts w:asciiTheme="majorHAnsi" w:hAnsiTheme="majorHAnsi" w:cstheme="majorHAnsi"/>
          <w:b w:val="0"/>
          <w:szCs w:val="28"/>
          <w:lang w:val="nl-NL"/>
        </w:rPr>
        <w:t xml:space="preserve"> </w:t>
      </w:r>
      <w:r w:rsidRPr="002D0B55">
        <w:rPr>
          <w:rFonts w:asciiTheme="majorHAnsi" w:hAnsiTheme="majorHAnsi" w:cstheme="majorHAnsi"/>
          <w:b w:val="0"/>
          <w:szCs w:val="28"/>
          <w:lang w:val="nl-NL"/>
        </w:rPr>
        <w:t xml:space="preserve">kính đề nghị UBND huyện Thạch Hà </w:t>
      </w:r>
      <w:r w:rsidR="00E96F20" w:rsidRPr="002D0B55">
        <w:rPr>
          <w:rFonts w:asciiTheme="majorHAnsi" w:hAnsiTheme="majorHAnsi" w:cstheme="majorHAnsi"/>
          <w:b w:val="0"/>
          <w:szCs w:val="28"/>
          <w:lang w:val="nl-NL"/>
        </w:rPr>
        <w:t>ban hành thông báo</w:t>
      </w:r>
      <w:r w:rsidRPr="002D0B55">
        <w:rPr>
          <w:rFonts w:asciiTheme="majorHAnsi" w:hAnsiTheme="majorHAnsi" w:cstheme="majorHAnsi"/>
          <w:b w:val="0"/>
          <w:szCs w:val="28"/>
          <w:lang w:val="nl-NL"/>
        </w:rPr>
        <w:t xml:space="preserve"> thu hồi đất để Dự án triển khai đúng tiến độ./.</w:t>
      </w:r>
    </w:p>
    <w:tbl>
      <w:tblPr>
        <w:tblpPr w:leftFromText="180" w:rightFromText="180" w:vertAnchor="text" w:horzAnchor="margin" w:tblpY="116"/>
        <w:tblW w:w="0" w:type="auto"/>
        <w:tblLook w:val="0000"/>
      </w:tblPr>
      <w:tblGrid>
        <w:gridCol w:w="5184"/>
        <w:gridCol w:w="4103"/>
      </w:tblGrid>
      <w:tr w:rsidR="002D0B55" w:rsidRPr="00226A76" w:rsidTr="00717162">
        <w:trPr>
          <w:trHeight w:val="2338"/>
        </w:trPr>
        <w:tc>
          <w:tcPr>
            <w:tcW w:w="5352" w:type="dxa"/>
          </w:tcPr>
          <w:p w:rsidR="00717162" w:rsidRPr="002D0B55" w:rsidRDefault="00717162" w:rsidP="00717162">
            <w:pPr>
              <w:rPr>
                <w:rFonts w:asciiTheme="majorHAnsi" w:hAnsiTheme="majorHAnsi" w:cstheme="majorHAnsi"/>
                <w:b/>
                <w:i/>
                <w:lang w:val="nl-NL"/>
              </w:rPr>
            </w:pPr>
            <w:r w:rsidRPr="002D0B55">
              <w:rPr>
                <w:rFonts w:asciiTheme="majorHAnsi" w:hAnsiTheme="majorHAnsi" w:cstheme="majorHAnsi"/>
                <w:b/>
                <w:bCs/>
                <w:i/>
                <w:sz w:val="24"/>
                <w:lang w:val="nl-NL"/>
              </w:rPr>
              <w:t>Nơi nhận</w:t>
            </w:r>
            <w:r w:rsidRPr="002D0B55">
              <w:rPr>
                <w:rFonts w:asciiTheme="majorHAnsi" w:hAnsiTheme="majorHAnsi" w:cstheme="majorHAnsi"/>
                <w:b/>
                <w:i/>
                <w:lang w:val="nl-NL"/>
              </w:rPr>
              <w:t>:</w:t>
            </w:r>
          </w:p>
          <w:p w:rsidR="00717162" w:rsidRPr="002D0B55" w:rsidRDefault="00717162" w:rsidP="00717162">
            <w:pPr>
              <w:rPr>
                <w:rFonts w:asciiTheme="majorHAnsi" w:hAnsiTheme="majorHAnsi" w:cstheme="majorHAnsi"/>
                <w:sz w:val="22"/>
                <w:lang w:val="nl-NL"/>
              </w:rPr>
            </w:pPr>
            <w:r w:rsidRPr="002D0B55">
              <w:rPr>
                <w:rFonts w:asciiTheme="majorHAnsi" w:hAnsiTheme="majorHAnsi" w:cstheme="majorHAnsi"/>
                <w:sz w:val="22"/>
                <w:lang w:val="nl-NL"/>
              </w:rPr>
              <w:t>- UBND huyện Thạch Hà;</w:t>
            </w:r>
          </w:p>
          <w:p w:rsidR="00717162" w:rsidRPr="002D0B55" w:rsidRDefault="00717162" w:rsidP="00717162">
            <w:pPr>
              <w:rPr>
                <w:rFonts w:asciiTheme="majorHAnsi" w:hAnsiTheme="majorHAnsi" w:cstheme="majorHAnsi"/>
                <w:sz w:val="22"/>
                <w:lang w:val="nl-NL"/>
              </w:rPr>
            </w:pPr>
            <w:r w:rsidRPr="002D0B55">
              <w:rPr>
                <w:rFonts w:asciiTheme="majorHAnsi" w:hAnsiTheme="majorHAnsi" w:cstheme="majorHAnsi"/>
                <w:sz w:val="22"/>
                <w:lang w:val="nl-NL"/>
              </w:rPr>
              <w:t>- Phòng TN &amp; MT;</w:t>
            </w:r>
          </w:p>
          <w:p w:rsidR="00717162" w:rsidRPr="002D0B55" w:rsidRDefault="00717162" w:rsidP="00717162">
            <w:pPr>
              <w:rPr>
                <w:rFonts w:asciiTheme="majorHAnsi" w:hAnsiTheme="majorHAnsi" w:cstheme="majorHAnsi"/>
                <w:lang w:val="nl-NL"/>
              </w:rPr>
            </w:pPr>
            <w:r w:rsidRPr="002D0B55">
              <w:rPr>
                <w:rFonts w:asciiTheme="majorHAnsi" w:hAnsiTheme="majorHAnsi" w:cstheme="majorHAnsi"/>
                <w:sz w:val="22"/>
                <w:lang w:val="nl-NL"/>
              </w:rPr>
              <w:t>- Lưu VP UB, Địa chính.</w:t>
            </w:r>
          </w:p>
        </w:tc>
        <w:tc>
          <w:tcPr>
            <w:tcW w:w="4218" w:type="dxa"/>
          </w:tcPr>
          <w:p w:rsidR="00717162" w:rsidRPr="002D0B55" w:rsidRDefault="00717162" w:rsidP="00717162">
            <w:pPr>
              <w:jc w:val="center"/>
              <w:rPr>
                <w:rFonts w:asciiTheme="majorHAnsi" w:hAnsiTheme="majorHAnsi" w:cstheme="majorHAnsi"/>
                <w:b/>
                <w:bCs/>
                <w:lang w:val="nl-NL"/>
              </w:rPr>
            </w:pPr>
            <w:r w:rsidRPr="002D0B55">
              <w:rPr>
                <w:rFonts w:asciiTheme="majorHAnsi" w:hAnsiTheme="majorHAnsi" w:cstheme="majorHAnsi"/>
                <w:b/>
                <w:bCs/>
                <w:lang w:val="nl-NL"/>
              </w:rPr>
              <w:t>TM.ỦY BAN NHÂN DÂN</w:t>
            </w:r>
          </w:p>
          <w:p w:rsidR="00717162" w:rsidRPr="002D0B55" w:rsidRDefault="00717162" w:rsidP="00717162">
            <w:pPr>
              <w:jc w:val="center"/>
              <w:rPr>
                <w:rFonts w:asciiTheme="majorHAnsi" w:hAnsiTheme="majorHAnsi" w:cstheme="majorHAnsi"/>
                <w:b/>
                <w:bCs/>
                <w:lang w:val="nl-NL"/>
              </w:rPr>
            </w:pPr>
            <w:r w:rsidRPr="002D0B55">
              <w:rPr>
                <w:rFonts w:asciiTheme="majorHAnsi" w:hAnsiTheme="majorHAnsi" w:cstheme="majorHAnsi"/>
                <w:b/>
                <w:bCs/>
                <w:lang w:val="nl-NL"/>
              </w:rPr>
              <w:t>CHỦ TỊCH</w:t>
            </w:r>
          </w:p>
          <w:p w:rsidR="00717162" w:rsidRPr="002D0B55" w:rsidRDefault="00717162" w:rsidP="00717162">
            <w:pPr>
              <w:jc w:val="center"/>
              <w:rPr>
                <w:rFonts w:asciiTheme="majorHAnsi" w:hAnsiTheme="majorHAnsi" w:cstheme="majorHAnsi"/>
                <w:b/>
                <w:bCs/>
                <w:lang w:val="nl-NL"/>
              </w:rPr>
            </w:pPr>
          </w:p>
          <w:p w:rsidR="00717162" w:rsidRPr="002D0B55" w:rsidRDefault="00717162" w:rsidP="00717162">
            <w:pPr>
              <w:jc w:val="center"/>
              <w:rPr>
                <w:rFonts w:asciiTheme="majorHAnsi" w:hAnsiTheme="majorHAnsi" w:cstheme="majorHAnsi"/>
                <w:b/>
                <w:bCs/>
                <w:sz w:val="40"/>
                <w:lang w:val="nl-NL"/>
              </w:rPr>
            </w:pPr>
          </w:p>
          <w:p w:rsidR="00C75EBB" w:rsidRPr="002D0B55" w:rsidRDefault="00C75EBB" w:rsidP="00717162">
            <w:pPr>
              <w:jc w:val="center"/>
              <w:rPr>
                <w:rFonts w:asciiTheme="majorHAnsi" w:hAnsiTheme="majorHAnsi" w:cstheme="majorHAnsi"/>
                <w:b/>
                <w:bCs/>
                <w:sz w:val="40"/>
                <w:lang w:val="nl-NL"/>
              </w:rPr>
            </w:pPr>
          </w:p>
          <w:p w:rsidR="00C75EBB" w:rsidRPr="00CA4848" w:rsidRDefault="00530D6E" w:rsidP="00717162">
            <w:pPr>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Nguyễn Huy Hà</w:t>
            </w:r>
          </w:p>
          <w:p w:rsidR="00717162" w:rsidRPr="002D0B55" w:rsidRDefault="00717162" w:rsidP="00717162">
            <w:pPr>
              <w:jc w:val="center"/>
              <w:rPr>
                <w:rFonts w:asciiTheme="majorHAnsi" w:hAnsiTheme="majorHAnsi" w:cstheme="majorHAnsi"/>
                <w:b/>
                <w:bCs/>
                <w:sz w:val="20"/>
                <w:lang w:val="nl-NL"/>
              </w:rPr>
            </w:pPr>
          </w:p>
          <w:p w:rsidR="00717162" w:rsidRPr="002D0B55" w:rsidRDefault="00717162" w:rsidP="00717162">
            <w:pPr>
              <w:jc w:val="center"/>
              <w:rPr>
                <w:rFonts w:asciiTheme="majorHAnsi" w:hAnsiTheme="majorHAnsi" w:cstheme="majorHAnsi"/>
                <w:b/>
                <w:bCs/>
                <w:sz w:val="40"/>
                <w:lang w:val="nl-NL"/>
              </w:rPr>
            </w:pPr>
          </w:p>
          <w:p w:rsidR="00717162" w:rsidRPr="002D0B55" w:rsidRDefault="00717162" w:rsidP="00717162">
            <w:pPr>
              <w:jc w:val="center"/>
              <w:rPr>
                <w:rFonts w:asciiTheme="majorHAnsi" w:hAnsiTheme="majorHAnsi" w:cstheme="majorHAnsi"/>
                <w:b/>
                <w:bCs/>
                <w:lang w:val="nl-NL"/>
              </w:rPr>
            </w:pPr>
          </w:p>
        </w:tc>
      </w:tr>
    </w:tbl>
    <w:p w:rsidR="00C10327" w:rsidRPr="002D0B55" w:rsidRDefault="00C10327" w:rsidP="00C10327">
      <w:pPr>
        <w:pStyle w:val="BodyText"/>
        <w:spacing w:before="0" w:after="0" w:line="340" w:lineRule="exact"/>
        <w:ind w:firstLine="720"/>
        <w:rPr>
          <w:rFonts w:asciiTheme="majorHAnsi" w:hAnsiTheme="majorHAnsi" w:cstheme="majorHAnsi"/>
          <w:color w:val="auto"/>
          <w:sz w:val="28"/>
          <w:szCs w:val="28"/>
          <w:lang w:val="nl-NL"/>
        </w:rPr>
      </w:pPr>
    </w:p>
    <w:p w:rsidR="008C07C5" w:rsidRPr="002D0B55" w:rsidRDefault="008C07C5" w:rsidP="008C07C5">
      <w:pPr>
        <w:jc w:val="right"/>
        <w:rPr>
          <w:rFonts w:asciiTheme="majorHAnsi" w:hAnsiTheme="majorHAnsi" w:cstheme="majorHAnsi"/>
          <w:lang w:val="nl-NL"/>
        </w:rPr>
      </w:pPr>
    </w:p>
    <w:p w:rsidR="003C3B37" w:rsidRPr="002D0B55" w:rsidRDefault="003C3B37" w:rsidP="008C07C5">
      <w:pPr>
        <w:jc w:val="right"/>
        <w:rPr>
          <w:rFonts w:asciiTheme="majorHAnsi" w:hAnsiTheme="majorHAnsi" w:cstheme="majorHAnsi"/>
          <w:lang w:val="nl-NL"/>
        </w:rPr>
      </w:pPr>
    </w:p>
    <w:p w:rsidR="003C3B37" w:rsidRPr="002D0B55" w:rsidRDefault="003C3B37" w:rsidP="008C07C5">
      <w:pPr>
        <w:jc w:val="right"/>
        <w:rPr>
          <w:rFonts w:asciiTheme="majorHAnsi" w:hAnsiTheme="majorHAnsi" w:cstheme="majorHAnsi"/>
          <w:lang w:val="nl-NL"/>
        </w:rPr>
      </w:pPr>
    </w:p>
    <w:p w:rsidR="003C3B37" w:rsidRPr="002D0B55" w:rsidRDefault="003C3B37" w:rsidP="008C07C5">
      <w:pPr>
        <w:jc w:val="right"/>
        <w:rPr>
          <w:rFonts w:asciiTheme="majorHAnsi" w:hAnsiTheme="majorHAnsi" w:cstheme="majorHAnsi"/>
          <w:lang w:val="nl-NL"/>
        </w:rPr>
      </w:pPr>
    </w:p>
    <w:p w:rsidR="003C3B37" w:rsidRPr="002D0B55" w:rsidRDefault="003C3B37" w:rsidP="008C07C5">
      <w:pPr>
        <w:jc w:val="right"/>
        <w:rPr>
          <w:rFonts w:asciiTheme="majorHAnsi" w:hAnsiTheme="majorHAnsi" w:cstheme="majorHAnsi"/>
          <w:lang w:val="nl-NL"/>
        </w:rPr>
      </w:pPr>
    </w:p>
    <w:p w:rsidR="003C3B37" w:rsidRPr="002D0B55" w:rsidRDefault="003C3B37" w:rsidP="008C07C5">
      <w:pPr>
        <w:jc w:val="right"/>
        <w:rPr>
          <w:rFonts w:asciiTheme="majorHAnsi" w:hAnsiTheme="majorHAnsi" w:cstheme="majorHAnsi"/>
          <w:lang w:val="nl-NL"/>
        </w:rPr>
      </w:pPr>
    </w:p>
    <w:p w:rsidR="003C3B37" w:rsidRPr="002D0B55" w:rsidRDefault="003C3B37" w:rsidP="008C07C5">
      <w:pPr>
        <w:jc w:val="right"/>
        <w:rPr>
          <w:rFonts w:asciiTheme="majorHAnsi" w:hAnsiTheme="majorHAnsi" w:cstheme="majorHAnsi"/>
          <w:lang w:val="nl-NL"/>
        </w:rPr>
      </w:pPr>
    </w:p>
    <w:p w:rsidR="003C3B37" w:rsidRPr="002D0B55" w:rsidRDefault="003C3B37" w:rsidP="008C07C5">
      <w:pPr>
        <w:jc w:val="right"/>
        <w:rPr>
          <w:rFonts w:asciiTheme="majorHAnsi" w:hAnsiTheme="majorHAnsi" w:cstheme="majorHAnsi"/>
          <w:lang w:val="nl-NL"/>
        </w:rPr>
      </w:pPr>
    </w:p>
    <w:p w:rsidR="003C3B37" w:rsidRPr="002D0B55" w:rsidRDefault="003C3B37" w:rsidP="008C07C5">
      <w:pPr>
        <w:jc w:val="right"/>
        <w:rPr>
          <w:rFonts w:asciiTheme="majorHAnsi" w:hAnsiTheme="majorHAnsi" w:cstheme="majorHAnsi"/>
          <w:lang w:val="nl-NL"/>
        </w:rPr>
      </w:pPr>
    </w:p>
    <w:p w:rsidR="003C3B37" w:rsidRPr="002D0B55" w:rsidRDefault="003C3B37" w:rsidP="008C07C5">
      <w:pPr>
        <w:jc w:val="right"/>
        <w:rPr>
          <w:rFonts w:asciiTheme="majorHAnsi" w:hAnsiTheme="majorHAnsi" w:cstheme="majorHAnsi"/>
          <w:lang w:val="nl-NL"/>
        </w:rPr>
      </w:pPr>
    </w:p>
    <w:p w:rsidR="003C3B37" w:rsidRPr="002D0B55" w:rsidRDefault="003C3B37" w:rsidP="008C07C5">
      <w:pPr>
        <w:jc w:val="right"/>
        <w:rPr>
          <w:rFonts w:asciiTheme="majorHAnsi" w:hAnsiTheme="majorHAnsi" w:cstheme="majorHAnsi"/>
          <w:lang w:val="nl-NL"/>
        </w:rPr>
      </w:pPr>
    </w:p>
    <w:p w:rsidR="003C3B37" w:rsidRPr="002D0B55" w:rsidRDefault="003C3B37" w:rsidP="008C07C5">
      <w:pPr>
        <w:jc w:val="right"/>
        <w:rPr>
          <w:rFonts w:asciiTheme="majorHAnsi" w:hAnsiTheme="majorHAnsi" w:cstheme="majorHAnsi"/>
          <w:lang w:val="nl-NL"/>
        </w:rPr>
      </w:pPr>
    </w:p>
    <w:p w:rsidR="003C3B37" w:rsidRPr="002D0B55" w:rsidRDefault="003C3B37" w:rsidP="008C07C5">
      <w:pPr>
        <w:jc w:val="right"/>
        <w:rPr>
          <w:rFonts w:asciiTheme="majorHAnsi" w:hAnsiTheme="majorHAnsi" w:cstheme="majorHAnsi"/>
          <w:lang w:val="nl-NL"/>
        </w:rPr>
      </w:pPr>
    </w:p>
    <w:p w:rsidR="003C3B37" w:rsidRPr="002D0B55" w:rsidRDefault="003C3B37" w:rsidP="008C07C5">
      <w:pPr>
        <w:jc w:val="right"/>
        <w:rPr>
          <w:rFonts w:asciiTheme="majorHAnsi" w:hAnsiTheme="majorHAnsi" w:cstheme="majorHAnsi"/>
          <w:lang w:val="nl-NL"/>
        </w:rPr>
      </w:pPr>
    </w:p>
    <w:p w:rsidR="003C3B37" w:rsidRPr="002D0B55" w:rsidRDefault="003C3B37" w:rsidP="008C07C5">
      <w:pPr>
        <w:jc w:val="right"/>
        <w:rPr>
          <w:rFonts w:asciiTheme="majorHAnsi" w:hAnsiTheme="majorHAnsi" w:cstheme="majorHAnsi"/>
          <w:lang w:val="nl-NL"/>
        </w:rPr>
      </w:pPr>
    </w:p>
    <w:p w:rsidR="003C3B37" w:rsidRPr="002D0B55" w:rsidRDefault="003C3B37" w:rsidP="008C07C5">
      <w:pPr>
        <w:jc w:val="right"/>
        <w:rPr>
          <w:rFonts w:asciiTheme="majorHAnsi" w:hAnsiTheme="majorHAnsi" w:cstheme="majorHAnsi"/>
          <w:lang w:val="nl-NL"/>
        </w:rPr>
      </w:pPr>
    </w:p>
    <w:p w:rsidR="003C3B37" w:rsidRPr="002D0B55" w:rsidRDefault="003C3B37" w:rsidP="008C07C5">
      <w:pPr>
        <w:jc w:val="right"/>
        <w:rPr>
          <w:rFonts w:asciiTheme="majorHAnsi" w:hAnsiTheme="majorHAnsi" w:cstheme="majorHAnsi"/>
          <w:lang w:val="nl-NL"/>
        </w:rPr>
      </w:pPr>
    </w:p>
    <w:sectPr w:rsidR="003C3B37" w:rsidRPr="002D0B55" w:rsidSect="00D85568">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20"/>
  <w:characterSpacingControl w:val="doNotCompress"/>
  <w:compat/>
  <w:rsids>
    <w:rsidRoot w:val="00C10327"/>
    <w:rsid w:val="0000395A"/>
    <w:rsid w:val="000238AF"/>
    <w:rsid w:val="000638B7"/>
    <w:rsid w:val="00071048"/>
    <w:rsid w:val="000C6C7E"/>
    <w:rsid w:val="000D456F"/>
    <w:rsid w:val="00181795"/>
    <w:rsid w:val="001D2F7A"/>
    <w:rsid w:val="001E0C1F"/>
    <w:rsid w:val="001E155C"/>
    <w:rsid w:val="00226A76"/>
    <w:rsid w:val="00244D38"/>
    <w:rsid w:val="002D0B55"/>
    <w:rsid w:val="00394A2B"/>
    <w:rsid w:val="003B054F"/>
    <w:rsid w:val="003C3B37"/>
    <w:rsid w:val="00420A5F"/>
    <w:rsid w:val="00444FC3"/>
    <w:rsid w:val="004578FC"/>
    <w:rsid w:val="004A50FA"/>
    <w:rsid w:val="004C76F7"/>
    <w:rsid w:val="00530D6E"/>
    <w:rsid w:val="00577BD3"/>
    <w:rsid w:val="00614B65"/>
    <w:rsid w:val="006F436C"/>
    <w:rsid w:val="00717162"/>
    <w:rsid w:val="0076344E"/>
    <w:rsid w:val="00796E06"/>
    <w:rsid w:val="007E2EA9"/>
    <w:rsid w:val="008738DB"/>
    <w:rsid w:val="008B1BEA"/>
    <w:rsid w:val="008C07C5"/>
    <w:rsid w:val="008E7BCC"/>
    <w:rsid w:val="008F53EA"/>
    <w:rsid w:val="0091081C"/>
    <w:rsid w:val="00977CE6"/>
    <w:rsid w:val="00980832"/>
    <w:rsid w:val="00A24E86"/>
    <w:rsid w:val="00A470D4"/>
    <w:rsid w:val="00AA7957"/>
    <w:rsid w:val="00AC5136"/>
    <w:rsid w:val="00AD1B3A"/>
    <w:rsid w:val="00AF7CB4"/>
    <w:rsid w:val="00B2010C"/>
    <w:rsid w:val="00B7166F"/>
    <w:rsid w:val="00C10327"/>
    <w:rsid w:val="00C42191"/>
    <w:rsid w:val="00C46E92"/>
    <w:rsid w:val="00C57122"/>
    <w:rsid w:val="00C603E5"/>
    <w:rsid w:val="00C74E2A"/>
    <w:rsid w:val="00C75EBB"/>
    <w:rsid w:val="00CA4848"/>
    <w:rsid w:val="00CE04CE"/>
    <w:rsid w:val="00D03FD4"/>
    <w:rsid w:val="00D85568"/>
    <w:rsid w:val="00DE6141"/>
    <w:rsid w:val="00E417A7"/>
    <w:rsid w:val="00E51B77"/>
    <w:rsid w:val="00E96F20"/>
    <w:rsid w:val="00E97570"/>
    <w:rsid w:val="00EB794C"/>
    <w:rsid w:val="00EC3FD8"/>
    <w:rsid w:val="00F969EE"/>
    <w:rsid w:val="00FE097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327"/>
    <w:pPr>
      <w:spacing w:after="0" w:line="240" w:lineRule="auto"/>
    </w:pPr>
    <w:rPr>
      <w:rFonts w:ascii="Times New Roman" w:eastAsia="Times New Roman" w:hAnsi="Times New Roman" w:cs="Times New Roman"/>
      <w:sz w:val="26"/>
      <w:szCs w:val="26"/>
      <w:lang w:val="en-US"/>
    </w:rPr>
  </w:style>
  <w:style w:type="paragraph" w:styleId="Heading3">
    <w:name w:val="heading 3"/>
    <w:basedOn w:val="Normal"/>
    <w:next w:val="Normal"/>
    <w:link w:val="Heading3Char"/>
    <w:qFormat/>
    <w:rsid w:val="00C10327"/>
    <w:pPr>
      <w:keepNext/>
      <w:jc w:val="center"/>
      <w:outlineLvl w:val="2"/>
    </w:pPr>
    <w:rPr>
      <w:rFonts w:ascii=".VnTimeH" w:hAnsi=".VnTimeH"/>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10327"/>
    <w:rPr>
      <w:rFonts w:ascii=".VnTimeH" w:eastAsia="Times New Roman" w:hAnsi=".VnTimeH" w:cs="Times New Roman"/>
      <w:b/>
      <w:bCs/>
      <w:sz w:val="28"/>
      <w:szCs w:val="24"/>
      <w:lang w:val="en-US"/>
    </w:rPr>
  </w:style>
  <w:style w:type="paragraph" w:styleId="BodyText">
    <w:name w:val="Body Text"/>
    <w:basedOn w:val="Normal"/>
    <w:link w:val="BodyTextChar"/>
    <w:rsid w:val="00C10327"/>
    <w:pPr>
      <w:spacing w:before="20" w:after="20" w:line="20" w:lineRule="atLeast"/>
      <w:jc w:val="both"/>
    </w:pPr>
    <w:rPr>
      <w:color w:val="0000FF"/>
      <w:szCs w:val="20"/>
    </w:rPr>
  </w:style>
  <w:style w:type="character" w:customStyle="1" w:styleId="BodyTextChar">
    <w:name w:val="Body Text Char"/>
    <w:basedOn w:val="DefaultParagraphFont"/>
    <w:link w:val="BodyText"/>
    <w:rsid w:val="00C10327"/>
    <w:rPr>
      <w:rFonts w:ascii="Times New Roman" w:eastAsia="Times New Roman" w:hAnsi="Times New Roman" w:cs="Times New Roman"/>
      <w:color w:val="0000FF"/>
      <w:sz w:val="26"/>
      <w:szCs w:val="20"/>
      <w:lang w:val="en-US"/>
    </w:rPr>
  </w:style>
  <w:style w:type="paragraph" w:styleId="BodyTextIndent">
    <w:name w:val="Body Text Indent"/>
    <w:basedOn w:val="Normal"/>
    <w:link w:val="BodyTextIndentChar"/>
    <w:uiPriority w:val="99"/>
    <w:semiHidden/>
    <w:unhideWhenUsed/>
    <w:rsid w:val="00A24E86"/>
    <w:pPr>
      <w:spacing w:after="120"/>
      <w:ind w:left="360"/>
    </w:pPr>
  </w:style>
  <w:style w:type="character" w:customStyle="1" w:styleId="BodyTextIndentChar">
    <w:name w:val="Body Text Indent Char"/>
    <w:basedOn w:val="DefaultParagraphFont"/>
    <w:link w:val="BodyTextIndent"/>
    <w:uiPriority w:val="99"/>
    <w:semiHidden/>
    <w:rsid w:val="00A24E86"/>
    <w:rPr>
      <w:rFonts w:ascii="Times New Roman" w:eastAsia="Times New Roman" w:hAnsi="Times New Roman" w:cs="Times New Roman"/>
      <w:sz w:val="26"/>
      <w:szCs w:val="26"/>
      <w:lang w:val="en-US"/>
    </w:rPr>
  </w:style>
  <w:style w:type="character" w:customStyle="1" w:styleId="fontstyle01">
    <w:name w:val="fontstyle01"/>
    <w:basedOn w:val="DefaultParagraphFont"/>
    <w:rsid w:val="00A24E86"/>
    <w:rPr>
      <w:rFonts w:ascii="Times New Roman" w:hAnsi="Times New Roman" w:cs="Times New Roman" w:hint="default"/>
      <w:b/>
      <w:bCs/>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508374315">
      <w:bodyDiv w:val="1"/>
      <w:marLeft w:val="0"/>
      <w:marRight w:val="0"/>
      <w:marTop w:val="0"/>
      <w:marBottom w:val="0"/>
      <w:divBdr>
        <w:top w:val="none" w:sz="0" w:space="0" w:color="auto"/>
        <w:left w:val="none" w:sz="0" w:space="0" w:color="auto"/>
        <w:bottom w:val="none" w:sz="0" w:space="0" w:color="auto"/>
        <w:right w:val="none" w:sz="0" w:space="0" w:color="auto"/>
      </w:divBdr>
    </w:div>
    <w:div w:id="18143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X-Media</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THANG</dc:creator>
  <cp:lastModifiedBy>Vanxuan</cp:lastModifiedBy>
  <cp:revision>45</cp:revision>
  <cp:lastPrinted>2016-12-22T04:09:00Z</cp:lastPrinted>
  <dcterms:created xsi:type="dcterms:W3CDTF">2016-12-09T03:25:00Z</dcterms:created>
  <dcterms:modified xsi:type="dcterms:W3CDTF">2024-01-05T02:44:00Z</dcterms:modified>
</cp:coreProperties>
</file>