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CellSpacing w:w="15" w:type="dxa"/>
        <w:tblInd w:w="-239" w:type="dxa"/>
        <w:tblLook w:val="04A0" w:firstRow="1" w:lastRow="0" w:firstColumn="1" w:lastColumn="0" w:noHBand="0" w:noVBand="1"/>
      </w:tblPr>
      <w:tblGrid>
        <w:gridCol w:w="3545"/>
        <w:gridCol w:w="6060"/>
      </w:tblGrid>
      <w:tr>
        <w:trPr>
          <w:trHeight w:val="667"/>
          <w:tblCellSpacing w:w="15" w:type="dxa"/>
        </w:trPr>
        <w:tc>
          <w:tcPr>
            <w:tcW w:w="3500" w:type="dxa"/>
            <w:tcMar>
              <w:top w:w="15" w:type="dxa"/>
              <w:left w:w="15" w:type="dxa"/>
              <w:bottom w:w="15" w:type="dxa"/>
              <w:right w:w="15" w:type="dxa"/>
            </w:tcMar>
            <w:hideMark/>
          </w:tcPr>
          <w:p>
            <w:pPr>
              <w:jc w:val="center"/>
              <w:rPr>
                <w:b/>
                <w:color w:val="000000"/>
              </w:rPr>
            </w:pPr>
            <w:r>
              <w:rPr>
                <w:b/>
                <w:color w:val="000000"/>
              </w:rPr>
              <w:t xml:space="preserve">ỦY BAN NHÂN DÂN </w:t>
            </w:r>
          </w:p>
          <w:p>
            <w:pPr>
              <w:jc w:val="center"/>
              <w:rPr>
                <w:b/>
                <w:color w:val="00000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790575</wp:posOffset>
                      </wp:positionH>
                      <wp:positionV relativeFrom="paragraph">
                        <wp:posOffset>207010</wp:posOffset>
                      </wp:positionV>
                      <wp:extent cx="908050" cy="0"/>
                      <wp:effectExtent l="9525"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6.3pt" to="13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XaR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"/>
                  </w:pict>
                </mc:Fallback>
              </mc:AlternateContent>
            </w:r>
            <w:r>
              <w:rPr>
                <w:b/>
                <w:color w:val="000000"/>
              </w:rPr>
              <w:t>HUYỆN THẠCH HÀ</w:t>
            </w:r>
          </w:p>
        </w:tc>
        <w:tc>
          <w:tcPr>
            <w:tcW w:w="6015" w:type="dxa"/>
            <w:tcMar>
              <w:top w:w="15" w:type="dxa"/>
              <w:left w:w="15" w:type="dxa"/>
              <w:bottom w:w="15" w:type="dxa"/>
              <w:right w:w="15" w:type="dxa"/>
            </w:tcMar>
            <w:hideMark/>
          </w:tcPr>
          <w:p>
            <w:pPr>
              <w:jc w:val="center"/>
              <w:rPr>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844550</wp:posOffset>
                      </wp:positionH>
                      <wp:positionV relativeFrom="paragraph">
                        <wp:posOffset>434975</wp:posOffset>
                      </wp:positionV>
                      <wp:extent cx="2146300" cy="0"/>
                      <wp:effectExtent l="6350"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34.25pt" to="2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"/>
                  </w:pict>
                </mc:Fallback>
              </mc:AlternateContent>
            </w:r>
            <w:r>
              <w:rPr>
                <w:b/>
                <w:bCs/>
                <w:color w:val="000000"/>
              </w:rPr>
              <w:t>CỘNG HÒA XÃ HỘI CHỦ NGHĨA VIỆT NAM</w:t>
            </w:r>
            <w:r>
              <w:rPr>
                <w:b/>
                <w:bCs/>
                <w:color w:val="000000"/>
                <w:sz w:val="28"/>
                <w:szCs w:val="28"/>
              </w:rPr>
              <w:t> </w:t>
            </w:r>
            <w:r>
              <w:rPr>
                <w:b/>
                <w:bCs/>
                <w:color w:val="000000"/>
                <w:sz w:val="28"/>
                <w:szCs w:val="28"/>
              </w:rPr>
              <w:br/>
              <w:t>Độc lập - Tự do - Hạnh phúc </w:t>
            </w:r>
          </w:p>
        </w:tc>
      </w:tr>
      <w:tr>
        <w:trPr>
          <w:tblCellSpacing w:w="15" w:type="dxa"/>
        </w:trPr>
        <w:tc>
          <w:tcPr>
            <w:tcW w:w="3500" w:type="dxa"/>
            <w:tcMar>
              <w:top w:w="15" w:type="dxa"/>
              <w:left w:w="15" w:type="dxa"/>
              <w:bottom w:w="15" w:type="dxa"/>
              <w:right w:w="15" w:type="dxa"/>
            </w:tcMar>
          </w:tcPr>
          <w:p>
            <w:pPr>
              <w:spacing w:line="340" w:lineRule="exact"/>
              <w:jc w:val="center"/>
              <w:rPr>
                <w:color w:val="000000"/>
                <w:sz w:val="22"/>
                <w:szCs w:val="28"/>
              </w:rPr>
            </w:pPr>
          </w:p>
          <w:p>
            <w:pPr>
              <w:spacing w:line="340" w:lineRule="exact"/>
              <w:jc w:val="center"/>
              <w:rPr>
                <w:color w:val="000000"/>
              </w:rPr>
            </w:pPr>
            <w:r>
              <w:rPr>
                <w:color w:val="000000"/>
              </w:rPr>
              <w:t>Số:          /KH-UBND</w:t>
            </w:r>
          </w:p>
        </w:tc>
        <w:tc>
          <w:tcPr>
            <w:tcW w:w="6015" w:type="dxa"/>
            <w:tcMar>
              <w:top w:w="15" w:type="dxa"/>
              <w:left w:w="15" w:type="dxa"/>
              <w:bottom w:w="15" w:type="dxa"/>
              <w:right w:w="15" w:type="dxa"/>
            </w:tcMar>
            <w:hideMark/>
          </w:tcPr>
          <w:p>
            <w:pPr>
              <w:spacing w:line="340" w:lineRule="exact"/>
              <w:rPr>
                <w:i/>
                <w:iCs/>
                <w:color w:val="000000"/>
                <w:sz w:val="20"/>
                <w:szCs w:val="28"/>
              </w:rPr>
            </w:pPr>
            <w:r>
              <w:rPr>
                <w:i/>
                <w:iCs/>
                <w:color w:val="000000"/>
                <w:sz w:val="27"/>
                <w:szCs w:val="27"/>
              </w:rPr>
              <w:t xml:space="preserve">              </w:t>
            </w:r>
            <w:r>
              <w:rPr>
                <w:i/>
                <w:iCs/>
                <w:color w:val="000000"/>
                <w:sz w:val="28"/>
                <w:szCs w:val="28"/>
              </w:rPr>
              <w:t xml:space="preserve">   </w:t>
            </w:r>
          </w:p>
          <w:p>
            <w:pPr>
              <w:spacing w:line="340" w:lineRule="exact"/>
              <w:rPr>
                <w:color w:val="000000"/>
                <w:sz w:val="28"/>
                <w:szCs w:val="28"/>
              </w:rPr>
            </w:pPr>
            <w:r>
              <w:rPr>
                <w:i/>
                <w:iCs/>
                <w:color w:val="000000"/>
                <w:sz w:val="28"/>
                <w:szCs w:val="28"/>
              </w:rPr>
              <w:t xml:space="preserve">        Thạch Hà,  ngày       tháng       năm 2024</w:t>
            </w:r>
          </w:p>
        </w:tc>
      </w:tr>
    </w:tbl>
    <w:p>
      <w:pPr>
        <w:spacing w:line="340" w:lineRule="exact"/>
        <w:jc w:val="center"/>
        <w:rPr>
          <w:color w:val="000000"/>
          <w:sz w:val="28"/>
          <w:szCs w:val="28"/>
        </w:rPr>
      </w:pPr>
      <w:r>
        <w:rPr>
          <w:color w:val="000000"/>
          <w:sz w:val="28"/>
          <w:szCs w:val="28"/>
        </w:rPr>
        <w:t xml:space="preserve">       </w:t>
      </w:r>
    </w:p>
    <w:p>
      <w:pPr>
        <w:spacing w:line="340" w:lineRule="exact"/>
        <w:jc w:val="center"/>
        <w:rPr>
          <w:b/>
          <w:sz w:val="28"/>
          <w:szCs w:val="28"/>
          <w:lang w:val="nl-NL"/>
        </w:rPr>
      </w:pPr>
      <w:r>
        <w:rPr>
          <w:b/>
          <w:sz w:val="28"/>
          <w:szCs w:val="28"/>
          <w:lang w:val="nl-NL"/>
        </w:rPr>
        <w:t>KẾ HOẠCH</w:t>
      </w:r>
    </w:p>
    <w:p>
      <w:pPr>
        <w:spacing w:line="340" w:lineRule="exact"/>
        <w:jc w:val="center"/>
        <w:rPr>
          <w:b/>
          <w:sz w:val="28"/>
          <w:szCs w:val="28"/>
          <w:lang w:val="nl-NL"/>
        </w:rPr>
      </w:pPr>
      <w:r>
        <w:rPr>
          <w:b/>
          <w:sz w:val="28"/>
          <w:szCs w:val="28"/>
        </w:rPr>
        <w:t>Đánh giá “Đơn vị học tập” cấp huyện trên địa bàn huyện Thạch Hà</w:t>
      </w:r>
    </w:p>
    <w:p>
      <w:pPr>
        <w:tabs>
          <w:tab w:val="left" w:pos="3945"/>
        </w:tabs>
        <w:spacing w:line="340" w:lineRule="exact"/>
        <w:ind w:left="1701"/>
        <w:jc w:val="both"/>
        <w:rPr>
          <w:color w:val="000000"/>
          <w:sz w:val="40"/>
          <w:szCs w:val="40"/>
        </w:rPr>
      </w:pPr>
      <w:r>
        <w:rPr>
          <w:noProof/>
        </w:rPr>
        <mc:AlternateContent>
          <mc:Choice Requires="wps">
            <w:drawing>
              <wp:anchor distT="0" distB="0" distL="114300" distR="114300" simplePos="0" relativeHeight="251658752" behindDoc="0" locked="0" layoutInCell="1" allowOverlap="1">
                <wp:simplePos x="0" y="0"/>
                <wp:positionH relativeFrom="column">
                  <wp:posOffset>1950085</wp:posOffset>
                </wp:positionH>
                <wp:positionV relativeFrom="paragraph">
                  <wp:posOffset>17145</wp:posOffset>
                </wp:positionV>
                <wp:extent cx="17145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1.35pt" to="288.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"/>
            </w:pict>
          </mc:Fallback>
        </mc:AlternateContent>
      </w:r>
      <w:r>
        <w:rPr>
          <w:color w:val="000000"/>
          <w:sz w:val="28"/>
          <w:szCs w:val="28"/>
        </w:rPr>
        <w:t xml:space="preserve">                               </w:t>
      </w:r>
    </w:p>
    <w:p>
      <w:pPr>
        <w:spacing w:before="100"/>
        <w:ind w:firstLine="720"/>
        <w:jc w:val="both"/>
        <w:rPr>
          <w:sz w:val="28"/>
        </w:rPr>
      </w:pPr>
      <w:r>
        <w:rPr>
          <w:sz w:val="28"/>
        </w:rPr>
        <w:t xml:space="preserve">Căn cứ Thông tư số 24/2023/TT-BGDĐT ngày 11/12/2023 của Bộ Giáo dục và Đào tạo về Quy định đánh giá, công nhận “Đơn vị học tập” cấp huyện, tỉnh </w:t>
      </w:r>
      <w:r>
        <w:rPr>
          <w:i/>
          <w:sz w:val="28"/>
        </w:rPr>
        <w:t>(gọi tắt là Thông tư số 24)</w:t>
      </w:r>
      <w:r>
        <w:rPr>
          <w:sz w:val="28"/>
        </w:rPr>
        <w:t>; Công văn số 4481/UBND-VX của Ủy ban nhân dân tỉnh Hà Tĩnh về triển khai thực hiện Thông tư số 24/2023/TT-BGDĐT và Thông tư số 25/2023/TT-BGDĐT của Bộ Giáo dục và Đào tạo, Ủy ban nhân dân huyện ban hành Kế hoạch đánh giá “Đơn vị học tập” trên địa bàn huyện Thạch Hà, cụ thể như sau:</w:t>
      </w:r>
    </w:p>
    <w:p>
      <w:pPr>
        <w:spacing w:before="100"/>
        <w:ind w:firstLine="720"/>
        <w:jc w:val="both"/>
        <w:rPr>
          <w:b/>
          <w:sz w:val="28"/>
        </w:rPr>
      </w:pPr>
      <w:r>
        <w:rPr>
          <w:b/>
          <w:sz w:val="28"/>
        </w:rPr>
        <w:t>I. MỤC ĐÍCH YÊU CẦU</w:t>
      </w:r>
    </w:p>
    <w:p>
      <w:pPr>
        <w:spacing w:before="100"/>
        <w:ind w:firstLine="720"/>
        <w:jc w:val="both"/>
        <w:rPr>
          <w:b/>
          <w:sz w:val="28"/>
        </w:rPr>
      </w:pPr>
      <w:r>
        <w:rPr>
          <w:b/>
          <w:sz w:val="28"/>
        </w:rPr>
        <w:t>1. Mục đích</w:t>
      </w:r>
    </w:p>
    <w:p>
      <w:pPr>
        <w:spacing w:before="100"/>
        <w:ind w:firstLine="720"/>
        <w:jc w:val="both"/>
        <w:rPr>
          <w:sz w:val="28"/>
        </w:rPr>
      </w:pPr>
      <w:r>
        <w:rPr>
          <w:sz w:val="28"/>
        </w:rPr>
        <w:t>Xác định Đơn vị cấp huyện đạt mức đáp ứng mục tiêu học tập trong từng giai đoạn, lập kế hoạch cải tiến chất lượng, duy trì, nâng cao các hoạt động học tập của đơn vị; thông báo công khai với cơ quan quản lý nhà nước và xã hội về thực trạng chất lượng học tập của đơn vị để cơ quan nhà nước đánh giá, công nhận hoặc không công nhận “Đơn vị học tập” cấp huyện.</w:t>
      </w:r>
    </w:p>
    <w:p>
      <w:pPr>
        <w:spacing w:before="100"/>
        <w:ind w:firstLine="720"/>
        <w:jc w:val="both"/>
        <w:rPr>
          <w:b/>
          <w:sz w:val="28"/>
        </w:rPr>
      </w:pPr>
      <w:r>
        <w:rPr>
          <w:b/>
          <w:sz w:val="28"/>
        </w:rPr>
        <w:t>2. Yêu cầu</w:t>
      </w:r>
    </w:p>
    <w:p>
      <w:pPr>
        <w:spacing w:before="100"/>
        <w:ind w:firstLine="720"/>
        <w:jc w:val="both"/>
        <w:rPr>
          <w:sz w:val="28"/>
        </w:rPr>
      </w:pPr>
      <w:r>
        <w:rPr>
          <w:sz w:val="28"/>
        </w:rPr>
        <w:t>Công nhận “Đơn vị học tập” cấp huyện nhằm khuyến khích đầu tư và huy động các nguồn lực hỗ trợ cho việc học tập, tạo động lực học tập; đảm bảo cơ hội học tập công bằng và điều kiện thuận lợi cho thành viên đơn vị tự học, học thường xuyên để trở thành “Công dân học tập”, góp phần xây dựng “Cộng đồng học tập” cấp xã, huyện đẩy mạnh học tập suốt đời, xây dựng xã hội học tập.</w:t>
      </w:r>
    </w:p>
    <w:p>
      <w:pPr>
        <w:spacing w:before="100"/>
        <w:ind w:firstLine="720"/>
        <w:jc w:val="both"/>
        <w:rPr>
          <w:b/>
          <w:sz w:val="28"/>
        </w:rPr>
      </w:pPr>
      <w:r>
        <w:rPr>
          <w:b/>
          <w:sz w:val="28"/>
        </w:rPr>
        <w:t xml:space="preserve">II. NGUYÊN TẮC ĐÁNH GIÁ, CÔNG NHẬN </w:t>
      </w:r>
    </w:p>
    <w:p>
      <w:pPr>
        <w:spacing w:before="100"/>
        <w:ind w:firstLine="720"/>
        <w:jc w:val="both"/>
        <w:rPr>
          <w:sz w:val="28"/>
        </w:rPr>
      </w:pPr>
      <w:r>
        <w:rPr>
          <w:sz w:val="28"/>
        </w:rPr>
        <w:t xml:space="preserve">1. Công khai, dân chủ, minh bạch; đúng thẩm quyền, mức độ, tiêu chí, điều kiện, quy trình đánh giá, công nhận quy định tại Thông tư số 24. </w:t>
      </w:r>
    </w:p>
    <w:p>
      <w:pPr>
        <w:spacing w:before="100"/>
        <w:ind w:firstLine="720"/>
        <w:jc w:val="both"/>
        <w:rPr>
          <w:sz w:val="28"/>
        </w:rPr>
      </w:pPr>
      <w:r>
        <w:rPr>
          <w:sz w:val="28"/>
        </w:rPr>
        <w:t>2. Đảm bảo tính trách nhiệm, tính trung thực trong tự đánh giá của cá nhân, đơn vị.</w:t>
      </w:r>
    </w:p>
    <w:p>
      <w:pPr>
        <w:spacing w:before="100"/>
        <w:ind w:firstLine="720"/>
        <w:jc w:val="both"/>
        <w:rPr>
          <w:b/>
          <w:sz w:val="28"/>
        </w:rPr>
      </w:pPr>
      <w:r>
        <w:rPr>
          <w:b/>
          <w:sz w:val="28"/>
        </w:rPr>
        <w:t>III. ĐƠN VỊ CẤP HUYỆN, GỒM</w:t>
      </w:r>
    </w:p>
    <w:p>
      <w:pPr>
        <w:spacing w:before="100"/>
        <w:ind w:firstLine="720"/>
        <w:jc w:val="both"/>
        <w:rPr>
          <w:sz w:val="28"/>
        </w:rPr>
      </w:pPr>
      <w:r>
        <w:rPr>
          <w:sz w:val="28"/>
        </w:rPr>
        <w:t xml:space="preserve">- Ủy ban nhân dân xã, thị trấn; </w:t>
      </w:r>
    </w:p>
    <w:p>
      <w:pPr>
        <w:spacing w:before="100"/>
        <w:ind w:firstLine="720"/>
        <w:jc w:val="both"/>
        <w:rPr>
          <w:sz w:val="28"/>
        </w:rPr>
      </w:pPr>
      <w:r>
        <w:rPr>
          <w:sz w:val="28"/>
        </w:rPr>
        <w:t xml:space="preserve">- Cơ quan tham mưu, giúp việc Huyện ủy trực thuộc Tỉnh ủy; </w:t>
      </w:r>
    </w:p>
    <w:p>
      <w:pPr>
        <w:spacing w:before="100"/>
        <w:ind w:firstLine="720"/>
        <w:jc w:val="both"/>
        <w:rPr>
          <w:sz w:val="28"/>
        </w:rPr>
      </w:pPr>
      <w:r>
        <w:rPr>
          <w:sz w:val="28"/>
        </w:rPr>
        <w:t xml:space="preserve">- Cơ quan, đơn vị thuộc, trực thuộc Ủy ban nhân dân huyện; </w:t>
      </w:r>
    </w:p>
    <w:p>
      <w:pPr>
        <w:spacing w:before="100"/>
        <w:ind w:firstLine="720"/>
        <w:jc w:val="both"/>
        <w:rPr>
          <w:sz w:val="28"/>
        </w:rPr>
      </w:pPr>
      <w:r>
        <w:rPr>
          <w:sz w:val="28"/>
        </w:rPr>
        <w:t xml:space="preserve">- Cơ quan Ủy ban Mặt trận Tổ quốc Việt Nam huyện; </w:t>
      </w:r>
    </w:p>
    <w:p>
      <w:pPr>
        <w:spacing w:before="100"/>
        <w:ind w:firstLine="720"/>
        <w:jc w:val="both"/>
        <w:rPr>
          <w:sz w:val="28"/>
        </w:rPr>
      </w:pPr>
      <w:r>
        <w:rPr>
          <w:sz w:val="28"/>
        </w:rPr>
        <w:t xml:space="preserve">- Ban Chỉ huy Quân sự huyện; </w:t>
      </w:r>
    </w:p>
    <w:p>
      <w:pPr>
        <w:spacing w:before="100"/>
        <w:ind w:firstLine="720"/>
        <w:jc w:val="both"/>
        <w:rPr>
          <w:sz w:val="28"/>
        </w:rPr>
      </w:pPr>
      <w:r>
        <w:rPr>
          <w:sz w:val="28"/>
        </w:rPr>
        <w:lastRenderedPageBreak/>
        <w:t>- Công an huyện;</w:t>
      </w:r>
    </w:p>
    <w:p>
      <w:pPr>
        <w:spacing w:before="100"/>
        <w:ind w:firstLine="720"/>
        <w:jc w:val="both"/>
        <w:rPr>
          <w:sz w:val="28"/>
        </w:rPr>
      </w:pPr>
      <w:r>
        <w:rPr>
          <w:sz w:val="28"/>
        </w:rPr>
        <w:t xml:space="preserve">- Liên đoàn Lao động huyện; </w:t>
      </w:r>
    </w:p>
    <w:p>
      <w:pPr>
        <w:spacing w:before="100"/>
        <w:ind w:firstLine="720"/>
        <w:jc w:val="both"/>
        <w:rPr>
          <w:sz w:val="28"/>
        </w:rPr>
      </w:pPr>
      <w:r>
        <w:rPr>
          <w:sz w:val="28"/>
        </w:rPr>
        <w:t xml:space="preserve">- Đoàn Thanh niên Cộng sản Hồ Chí Minh huyện; </w:t>
      </w:r>
    </w:p>
    <w:p>
      <w:pPr>
        <w:spacing w:before="100"/>
        <w:ind w:firstLine="720"/>
        <w:jc w:val="both"/>
        <w:rPr>
          <w:sz w:val="28"/>
        </w:rPr>
      </w:pPr>
      <w:r>
        <w:rPr>
          <w:sz w:val="28"/>
        </w:rPr>
        <w:t xml:space="preserve">- Hội Nông dân huyện; </w:t>
      </w:r>
    </w:p>
    <w:p>
      <w:pPr>
        <w:spacing w:before="100"/>
        <w:ind w:firstLine="720"/>
        <w:jc w:val="both"/>
        <w:rPr>
          <w:sz w:val="28"/>
        </w:rPr>
      </w:pPr>
      <w:r>
        <w:rPr>
          <w:sz w:val="28"/>
        </w:rPr>
        <w:t xml:space="preserve">- Hội Liên hiệp Phụ nữ huyện; </w:t>
      </w:r>
    </w:p>
    <w:p>
      <w:pPr>
        <w:spacing w:before="100"/>
        <w:ind w:firstLine="720"/>
        <w:jc w:val="both"/>
        <w:rPr>
          <w:sz w:val="28"/>
        </w:rPr>
      </w:pPr>
      <w:r>
        <w:rPr>
          <w:sz w:val="28"/>
        </w:rPr>
        <w:t xml:space="preserve">- Hội Cựu chiến binh huyện; </w:t>
      </w:r>
    </w:p>
    <w:p>
      <w:pPr>
        <w:spacing w:before="100"/>
        <w:ind w:firstLine="720"/>
        <w:jc w:val="both"/>
        <w:rPr>
          <w:sz w:val="28"/>
        </w:rPr>
      </w:pPr>
      <w:r>
        <w:rPr>
          <w:sz w:val="28"/>
        </w:rPr>
        <w:t xml:space="preserve">- Doanh nghiệp, hợp tác xã và tổ chức khác thực hiện hoạt động đầu tư kinh doanh thuộc thẩm quyền quản lý của Ủy ban nhân dân huyện; </w:t>
      </w:r>
    </w:p>
    <w:p>
      <w:pPr>
        <w:spacing w:before="100"/>
        <w:ind w:firstLine="720"/>
        <w:jc w:val="both"/>
        <w:rPr>
          <w:sz w:val="28"/>
        </w:rPr>
      </w:pPr>
      <w:r>
        <w:rPr>
          <w:sz w:val="28"/>
        </w:rPr>
        <w:t xml:space="preserve">- Cơ sở giáo dục được đánh giá, công nhận ở cấp huyện: Là nhà trẻ, trường mẫu giáo, trường mầm non, trường tiểu học, trường trung học cơ sở, trường TH&amp;THCS; trung tâm giáo dục nghề nghiệp- giáo dục thường xuyên và các cơ sở giáo dục khác thuộc thẩm quyền quản lý nhà nước của Ủy ban nhân dân cấp huyện. </w:t>
      </w:r>
    </w:p>
    <w:p>
      <w:pPr>
        <w:spacing w:before="100"/>
        <w:ind w:firstLine="720"/>
        <w:jc w:val="both"/>
        <w:rPr>
          <w:sz w:val="28"/>
        </w:rPr>
      </w:pPr>
      <w:r>
        <w:rPr>
          <w:sz w:val="28"/>
        </w:rPr>
        <w:t>- Hội khuyến học cấp huyện và các tổ chức xã hội cấp huyện, tổ chức xã hội-nghề nghiệp cấp huyện khác.</w:t>
      </w:r>
    </w:p>
    <w:p>
      <w:pPr>
        <w:spacing w:before="100"/>
        <w:ind w:firstLine="720"/>
        <w:jc w:val="both"/>
        <w:rPr>
          <w:b/>
          <w:sz w:val="28"/>
        </w:rPr>
      </w:pPr>
      <w:r>
        <w:rPr>
          <w:b/>
          <w:sz w:val="28"/>
        </w:rPr>
        <w:t xml:space="preserve">IV. THẨM QUYỀN ĐÁNH GIÁ, CÔNG NHẬN, MỨC ĐỘ VÀ THỜI HẠN CÔNG NHẬN “ĐƠN VỊ HỌC TẬP” CẤP HUYỆN </w:t>
      </w:r>
    </w:p>
    <w:p>
      <w:pPr>
        <w:spacing w:before="100"/>
        <w:ind w:firstLine="720"/>
        <w:jc w:val="both"/>
        <w:rPr>
          <w:sz w:val="28"/>
        </w:rPr>
      </w:pPr>
      <w:r>
        <w:rPr>
          <w:sz w:val="28"/>
        </w:rPr>
        <w:t xml:space="preserve">1. Chủ tịch Ủy ban nhân dân cấp huyện quyết định công nhận Đơn vị cấp huyện đạt “Đơn vị học tập” cấp huyện. </w:t>
      </w:r>
    </w:p>
    <w:p>
      <w:pPr>
        <w:spacing w:before="100"/>
        <w:ind w:firstLine="720"/>
        <w:jc w:val="both"/>
        <w:rPr>
          <w:sz w:val="28"/>
        </w:rPr>
      </w:pPr>
      <w:r>
        <w:rPr>
          <w:sz w:val="28"/>
        </w:rPr>
        <w:t xml:space="preserve">2. Công nhận “Đơn vị học tập” cấp huyện theo 2 mức độ: Mức độ 1, mức độ 2. </w:t>
      </w:r>
    </w:p>
    <w:p>
      <w:pPr>
        <w:spacing w:before="100"/>
        <w:ind w:firstLine="720"/>
        <w:jc w:val="both"/>
        <w:rPr>
          <w:sz w:val="28"/>
        </w:rPr>
      </w:pPr>
      <w:r>
        <w:rPr>
          <w:sz w:val="28"/>
        </w:rPr>
        <w:t xml:space="preserve">3. Đơn vị cấp huyện được công nhận mức độ 1 sau ít nhất 1 năm (12 tháng) kể từ ngày ra quyết định công nhận có thể đề nghị đánh giá, công nhận nâng mức độ 2. </w:t>
      </w:r>
    </w:p>
    <w:p>
      <w:pPr>
        <w:spacing w:before="100"/>
        <w:ind w:firstLine="720"/>
        <w:jc w:val="both"/>
        <w:rPr>
          <w:sz w:val="28"/>
        </w:rPr>
      </w:pPr>
      <w:r>
        <w:rPr>
          <w:sz w:val="28"/>
        </w:rPr>
        <w:t xml:space="preserve">4. Kết quả công nhận được bảo lưu trong thời hạn 03 năm (36 tháng) tiếp theo năm được công nhận là “Đơn vị học tập” cấp huyện. </w:t>
      </w:r>
    </w:p>
    <w:p>
      <w:pPr>
        <w:spacing w:before="100"/>
        <w:ind w:firstLine="720"/>
        <w:jc w:val="both"/>
        <w:rPr>
          <w:sz w:val="28"/>
        </w:rPr>
      </w:pPr>
      <w:r>
        <w:rPr>
          <w:sz w:val="28"/>
        </w:rPr>
        <w:t>5. Tiêu chí, điều kiện, cách thức đánh giá, công nhận “Đơn vị học tập” cấp huyện mức độ 1, 2 được quy định tại Điều 6, Điều 7, Điều 8 và Điều 9 Thông tư 24.</w:t>
      </w:r>
    </w:p>
    <w:p>
      <w:pPr>
        <w:spacing w:before="100"/>
        <w:ind w:firstLine="720"/>
        <w:jc w:val="both"/>
        <w:rPr>
          <w:b/>
          <w:sz w:val="28"/>
        </w:rPr>
      </w:pPr>
      <w:r>
        <w:rPr>
          <w:b/>
          <w:sz w:val="28"/>
        </w:rPr>
        <w:t xml:space="preserve">IV. QUY TRÌNH TỰ ĐÁNH GIÁ, CÔNG NHẬN </w:t>
      </w:r>
    </w:p>
    <w:p>
      <w:pPr>
        <w:spacing w:before="100"/>
        <w:ind w:firstLine="720"/>
        <w:jc w:val="both"/>
        <w:rPr>
          <w:b/>
          <w:sz w:val="28"/>
        </w:rPr>
      </w:pPr>
      <w:r>
        <w:rPr>
          <w:b/>
          <w:sz w:val="28"/>
        </w:rPr>
        <w:t xml:space="preserve">1. Thành lập Tổ tự đánh giá (TĐG) </w:t>
      </w:r>
    </w:p>
    <w:p>
      <w:pPr>
        <w:spacing w:before="100"/>
        <w:ind w:firstLine="720"/>
        <w:jc w:val="both"/>
        <w:rPr>
          <w:spacing w:val="-4"/>
          <w:sz w:val="28"/>
        </w:rPr>
      </w:pPr>
      <w:r>
        <w:rPr>
          <w:spacing w:val="-4"/>
          <w:sz w:val="28"/>
        </w:rPr>
        <w:t xml:space="preserve">Thủ trưởng đơn vị ban hành Quyết định thành lập Tổ TĐG bao gồm tổ trưởng, thư ký và các thành viên; Tổ trưởng Tổ TĐG là lãnh đạo cơ quan, đơn vị. </w:t>
      </w:r>
    </w:p>
    <w:p>
      <w:pPr>
        <w:spacing w:before="100"/>
        <w:ind w:firstLine="720"/>
        <w:jc w:val="both"/>
        <w:rPr>
          <w:b/>
          <w:sz w:val="28"/>
        </w:rPr>
      </w:pPr>
      <w:r>
        <w:rPr>
          <w:b/>
          <w:sz w:val="28"/>
        </w:rPr>
        <w:t>2. Tổ tự đánh giá thực hiện nhiệm vụ sau</w:t>
      </w:r>
    </w:p>
    <w:p>
      <w:pPr>
        <w:spacing w:before="100"/>
        <w:ind w:firstLine="720"/>
        <w:jc w:val="both"/>
        <w:rPr>
          <w:sz w:val="28"/>
        </w:rPr>
      </w:pPr>
      <w:r>
        <w:rPr>
          <w:sz w:val="28"/>
        </w:rPr>
        <w:t>Tổ trưởng Tổ TĐG: Quán triệt triển khai nhiệm vụ; Tổ chức tập huấn nội dung Thông tư số 24 (các tiêu chí, chỉ tiêu) cho các thành viên Tổ TĐG; phân công nhiệm vụ cụ thể cho từng thành viên; Xác định thời gian hoàn thành công tác TĐG.</w:t>
      </w:r>
    </w:p>
    <w:p>
      <w:pPr>
        <w:spacing w:before="100"/>
        <w:ind w:firstLine="720"/>
        <w:jc w:val="both"/>
        <w:rPr>
          <w:b/>
          <w:sz w:val="28"/>
        </w:rPr>
      </w:pPr>
      <w:r>
        <w:rPr>
          <w:b/>
          <w:sz w:val="28"/>
        </w:rPr>
        <w:t xml:space="preserve">3. Cách thức tiến hành đánh giá các chỉ tiêu, tiêu chí </w:t>
      </w:r>
    </w:p>
    <w:p>
      <w:pPr>
        <w:spacing w:before="100"/>
        <w:ind w:firstLine="720"/>
        <w:jc w:val="both"/>
        <w:rPr>
          <w:b/>
          <w:i/>
          <w:sz w:val="28"/>
        </w:rPr>
      </w:pPr>
      <w:r>
        <w:rPr>
          <w:b/>
          <w:i/>
          <w:sz w:val="28"/>
        </w:rPr>
        <w:t xml:space="preserve">3.1. Đánh giá từng chỉ tiêu của tiêu chí </w:t>
      </w:r>
    </w:p>
    <w:p>
      <w:pPr>
        <w:spacing w:before="100"/>
        <w:ind w:firstLine="720"/>
        <w:jc w:val="both"/>
        <w:rPr>
          <w:sz w:val="28"/>
        </w:rPr>
      </w:pPr>
      <w:r>
        <w:rPr>
          <w:sz w:val="28"/>
        </w:rPr>
        <w:t xml:space="preserve">- Xác định nội hàm của từng chỉ tiêu của tiêu chí để mô tả đúng các hoạt động của đơn vị phù hợp với nội hàm của chỉ tiêu của tiêu chí, nêu được điểm mạnh và điểm yếu đối với từng chỉ tiêu của tiêu chí </w:t>
      </w:r>
      <w:r>
        <w:rPr>
          <w:b/>
          <w:i/>
          <w:sz w:val="28"/>
        </w:rPr>
        <w:t>(Mẫu M1).</w:t>
      </w:r>
      <w:r>
        <w:rPr>
          <w:sz w:val="28"/>
        </w:rPr>
        <w:t xml:space="preserve"> </w:t>
      </w:r>
    </w:p>
    <w:p>
      <w:pPr>
        <w:spacing w:before="100"/>
        <w:ind w:firstLine="720"/>
        <w:jc w:val="both"/>
        <w:rPr>
          <w:sz w:val="28"/>
        </w:rPr>
      </w:pPr>
      <w:r>
        <w:rPr>
          <w:sz w:val="28"/>
        </w:rPr>
        <w:t xml:space="preserve">- Tìm kiếm, lưu trữ minh chứng của từng chỉ tiêu của tiêu chí để chứng minh cho việc mô tả là đúng. </w:t>
      </w:r>
    </w:p>
    <w:p>
      <w:pPr>
        <w:spacing w:before="100"/>
        <w:ind w:firstLine="720"/>
        <w:jc w:val="both"/>
        <w:rPr>
          <w:sz w:val="28"/>
        </w:rPr>
      </w:pPr>
      <w:r>
        <w:rPr>
          <w:sz w:val="28"/>
        </w:rPr>
        <w:t xml:space="preserve">- So sánh với quy định tại Thông tư số 24, xác định mức độ đạt của chỉ tiêu, tiêu chí: Không đạt/ đạt mức độ 1/ đạt mức độ 2. </w:t>
      </w:r>
    </w:p>
    <w:p>
      <w:pPr>
        <w:spacing w:before="100"/>
        <w:ind w:firstLine="720"/>
        <w:jc w:val="both"/>
        <w:rPr>
          <w:b/>
          <w:i/>
          <w:sz w:val="28"/>
        </w:rPr>
      </w:pPr>
      <w:r>
        <w:rPr>
          <w:b/>
          <w:i/>
          <w:sz w:val="28"/>
        </w:rPr>
        <w:t xml:space="preserve">3.2. Đánh giá từng tiêu chí </w:t>
      </w:r>
    </w:p>
    <w:p>
      <w:pPr>
        <w:spacing w:before="100"/>
        <w:ind w:firstLine="720"/>
        <w:jc w:val="both"/>
        <w:rPr>
          <w:sz w:val="28"/>
        </w:rPr>
      </w:pPr>
      <w:r>
        <w:rPr>
          <w:sz w:val="28"/>
        </w:rPr>
        <w:t xml:space="preserve">- Tổng hợp các chỉ tiêu, tự đánh giá xếp loại tiêu chí: Không đạt, đạt mức độ 1, đạt mức độ 2 </w:t>
      </w:r>
      <w:r>
        <w:rPr>
          <w:b/>
          <w:i/>
          <w:sz w:val="28"/>
        </w:rPr>
        <w:t>(Mẫu M2).</w:t>
      </w:r>
      <w:r>
        <w:rPr>
          <w:sz w:val="28"/>
        </w:rPr>
        <w:t xml:space="preserve"> </w:t>
      </w:r>
    </w:p>
    <w:p>
      <w:pPr>
        <w:spacing w:before="100"/>
        <w:ind w:firstLine="720"/>
        <w:jc w:val="both"/>
        <w:rPr>
          <w:sz w:val="28"/>
        </w:rPr>
      </w:pPr>
      <w:r>
        <w:rPr>
          <w:sz w:val="28"/>
        </w:rPr>
        <w:t>- Tiêu chí chỉ đạt khi tất cả các chỉ tiêu của tiêu chí đều đạt (theo từng mức độ).</w:t>
      </w:r>
    </w:p>
    <w:p>
      <w:pPr>
        <w:spacing w:before="100"/>
        <w:ind w:firstLine="720"/>
        <w:jc w:val="both"/>
        <w:rPr>
          <w:b/>
          <w:sz w:val="28"/>
        </w:rPr>
      </w:pPr>
      <w:r>
        <w:rPr>
          <w:b/>
          <w:sz w:val="28"/>
        </w:rPr>
        <w:t xml:space="preserve">4. Xây dựng Báo cáo tự đánh giá </w:t>
      </w:r>
    </w:p>
    <w:p>
      <w:pPr>
        <w:spacing w:before="100"/>
        <w:ind w:firstLine="720"/>
        <w:jc w:val="both"/>
        <w:rPr>
          <w:sz w:val="28"/>
        </w:rPr>
      </w:pPr>
      <w:r>
        <w:rPr>
          <w:sz w:val="28"/>
        </w:rPr>
        <w:t xml:space="preserve">- Đến thời hạn, thư ký Tổ TĐG thu phiếu đánh giá các tiêu chí, tổng hợp xây dựng Báo cáo tự đánh giá </w:t>
      </w:r>
      <w:r>
        <w:rPr>
          <w:b/>
          <w:i/>
          <w:sz w:val="28"/>
        </w:rPr>
        <w:t>(Mẫu M3).</w:t>
      </w:r>
      <w:r>
        <w:rPr>
          <w:sz w:val="28"/>
        </w:rPr>
        <w:t xml:space="preserve"> Bản tổng hợp kết quả các tiêu chí, chỉ tiêu được tính từ ngày 01 tháng 1 đến ngày 31 tháng 12 của năm đánh giá </w:t>
      </w:r>
      <w:r>
        <w:rPr>
          <w:b/>
          <w:i/>
          <w:sz w:val="28"/>
        </w:rPr>
        <w:t>(Mẫu M4)</w:t>
      </w:r>
      <w:r>
        <w:rPr>
          <w:sz w:val="28"/>
        </w:rPr>
        <w:t xml:space="preserve"> trình Tổ trưởng Tổ TĐG phê duyệt.</w:t>
      </w:r>
    </w:p>
    <w:p>
      <w:pPr>
        <w:spacing w:before="100"/>
        <w:ind w:firstLine="720"/>
        <w:jc w:val="both"/>
        <w:rPr>
          <w:sz w:val="30"/>
        </w:rPr>
      </w:pPr>
      <w:r>
        <w:rPr>
          <w:sz w:val="28"/>
        </w:rPr>
        <w:t>- Tổ trưởng Tổ TĐG trình lãnh đạo đơn vị xem xét, ký tên, đóng dấu vào báo cáo TĐG.</w:t>
      </w:r>
    </w:p>
    <w:p>
      <w:pPr>
        <w:spacing w:before="100"/>
        <w:ind w:firstLine="720"/>
        <w:jc w:val="both"/>
        <w:rPr>
          <w:b/>
          <w:sz w:val="28"/>
        </w:rPr>
      </w:pPr>
      <w:r>
        <w:rPr>
          <w:b/>
          <w:sz w:val="28"/>
        </w:rPr>
        <w:t>5. Trình công nhận</w:t>
      </w:r>
    </w:p>
    <w:p>
      <w:pPr>
        <w:spacing w:before="100"/>
        <w:ind w:firstLine="720"/>
        <w:jc w:val="both"/>
        <w:rPr>
          <w:sz w:val="28"/>
        </w:rPr>
      </w:pPr>
      <w:r>
        <w:rPr>
          <w:sz w:val="28"/>
        </w:rPr>
        <w:t xml:space="preserve">Căn cứ kết quả TĐG, thủ trưởng đơn vị thực hiện như sau: </w:t>
      </w:r>
    </w:p>
    <w:p>
      <w:pPr>
        <w:spacing w:before="100"/>
        <w:ind w:firstLine="720"/>
        <w:jc w:val="both"/>
        <w:rPr>
          <w:sz w:val="28"/>
        </w:rPr>
      </w:pPr>
      <w:r>
        <w:rPr>
          <w:sz w:val="28"/>
        </w:rPr>
        <w:t xml:space="preserve">- Nếu đơn vị TĐG </w:t>
      </w:r>
      <w:r>
        <w:rPr>
          <w:b/>
          <w:sz w:val="28"/>
        </w:rPr>
        <w:t>không đạt</w:t>
      </w:r>
      <w:r>
        <w:rPr>
          <w:sz w:val="28"/>
        </w:rPr>
        <w:t xml:space="preserve">, thủ trưởng đơn vị ban hành Báo cáo kết quả tự đánh giá (theo mẫu M8) gửi về Phòng Giáo dục và Đào tạo. </w:t>
      </w:r>
    </w:p>
    <w:p>
      <w:pPr>
        <w:spacing w:before="100"/>
        <w:ind w:firstLine="720"/>
        <w:jc w:val="both"/>
        <w:rPr>
          <w:sz w:val="28"/>
        </w:rPr>
      </w:pPr>
      <w:r>
        <w:rPr>
          <w:sz w:val="28"/>
        </w:rPr>
        <w:t xml:space="preserve">- Nếu đơn vị TĐG </w:t>
      </w:r>
      <w:r>
        <w:rPr>
          <w:b/>
          <w:sz w:val="28"/>
        </w:rPr>
        <w:t>đạt</w:t>
      </w:r>
      <w:r>
        <w:rPr>
          <w:sz w:val="28"/>
        </w:rPr>
        <w:t xml:space="preserve">, thủ trưởng đơn vị trình công nhận “Đơn vị học tập”. Hồ sơ trình công nhận gồm: </w:t>
      </w:r>
    </w:p>
    <w:p>
      <w:pPr>
        <w:spacing w:before="100"/>
        <w:ind w:firstLine="720"/>
        <w:jc w:val="both"/>
        <w:rPr>
          <w:sz w:val="28"/>
        </w:rPr>
      </w:pPr>
      <w:r>
        <w:rPr>
          <w:sz w:val="28"/>
        </w:rPr>
        <w:t>+ Tờ trình đề nghị đánh giá, công nhận “Đơn vị học tập” cấp huyện;</w:t>
      </w:r>
    </w:p>
    <w:p>
      <w:pPr>
        <w:spacing w:before="100"/>
        <w:ind w:firstLine="720"/>
        <w:jc w:val="both"/>
        <w:rPr>
          <w:spacing w:val="-4"/>
          <w:sz w:val="28"/>
        </w:rPr>
      </w:pPr>
      <w:r>
        <w:rPr>
          <w:spacing w:val="-4"/>
          <w:sz w:val="28"/>
        </w:rPr>
        <w:t xml:space="preserve">+ Báo cáo tự đánh giá, công nhận “Đơn vị học tập” cấp huyện (Mẫu M3). </w:t>
      </w:r>
    </w:p>
    <w:p>
      <w:pPr>
        <w:spacing w:before="100"/>
        <w:ind w:firstLine="720"/>
        <w:jc w:val="both"/>
        <w:rPr>
          <w:sz w:val="28"/>
        </w:rPr>
      </w:pPr>
      <w:r>
        <w:rPr>
          <w:sz w:val="28"/>
        </w:rPr>
        <w:t xml:space="preserve">+ Bản tổng hợp kết quả tự đánh giá các chỉ tiêu, tiêu chí (Mẫu M4). </w:t>
      </w:r>
    </w:p>
    <w:p>
      <w:pPr>
        <w:spacing w:before="100"/>
        <w:ind w:firstLine="720"/>
        <w:jc w:val="both"/>
        <w:rPr>
          <w:sz w:val="28"/>
        </w:rPr>
      </w:pPr>
      <w:r>
        <w:rPr>
          <w:sz w:val="28"/>
        </w:rPr>
        <w:t xml:space="preserve">- Các đơn vị gửi hồ sơ đề nghị đánh giá, công nhận “Đơn vị học tập” về Phòng Giáo dục và Đào tạo </w:t>
      </w:r>
      <w:r>
        <w:rPr>
          <w:b/>
          <w:sz w:val="28"/>
        </w:rPr>
        <w:t>trước ngày 15/01</w:t>
      </w:r>
      <w:r>
        <w:rPr>
          <w:sz w:val="28"/>
        </w:rPr>
        <w:t xml:space="preserve"> hàng năm.</w:t>
      </w:r>
    </w:p>
    <w:p>
      <w:pPr>
        <w:spacing w:before="100"/>
        <w:ind w:firstLine="720"/>
        <w:jc w:val="both"/>
        <w:rPr>
          <w:b/>
          <w:sz w:val="28"/>
        </w:rPr>
      </w:pPr>
      <w:r>
        <w:rPr>
          <w:b/>
          <w:sz w:val="28"/>
        </w:rPr>
        <w:t xml:space="preserve">V. QUY TRÌNH KIỂM TRA, CÔNG NHẬN </w:t>
      </w:r>
    </w:p>
    <w:p>
      <w:pPr>
        <w:spacing w:before="100"/>
        <w:ind w:firstLine="720"/>
        <w:jc w:val="both"/>
        <w:rPr>
          <w:b/>
          <w:sz w:val="28"/>
        </w:rPr>
      </w:pPr>
      <w:r>
        <w:rPr>
          <w:b/>
          <w:sz w:val="28"/>
        </w:rPr>
        <w:t xml:space="preserve">1. Tiếp nhận, rà soát hồ sơ  </w:t>
      </w:r>
    </w:p>
    <w:p>
      <w:pPr>
        <w:spacing w:before="100"/>
        <w:ind w:firstLine="720"/>
        <w:jc w:val="both"/>
        <w:rPr>
          <w:sz w:val="28"/>
        </w:rPr>
      </w:pPr>
      <w:r>
        <w:rPr>
          <w:sz w:val="28"/>
        </w:rPr>
        <w:t xml:space="preserve">Phòng Giáo dục và Đào tạo tiếp nhận, rà soát, kiểm tra hồ sơ đề nghị công nhận “Đơn vị học tập” cấp huyện. </w:t>
      </w:r>
    </w:p>
    <w:p>
      <w:pPr>
        <w:spacing w:before="100"/>
        <w:ind w:firstLine="720"/>
        <w:jc w:val="both"/>
        <w:rPr>
          <w:b/>
          <w:sz w:val="28"/>
        </w:rPr>
      </w:pPr>
      <w:r>
        <w:rPr>
          <w:b/>
          <w:sz w:val="28"/>
        </w:rPr>
        <w:t>2. Thành lập Hội đồng đánh giá cấp huyện</w:t>
      </w:r>
    </w:p>
    <w:p>
      <w:pPr>
        <w:spacing w:before="100"/>
        <w:ind w:firstLine="720"/>
        <w:jc w:val="both"/>
        <w:rPr>
          <w:sz w:val="28"/>
        </w:rPr>
      </w:pPr>
      <w:r>
        <w:rPr>
          <w:sz w:val="28"/>
        </w:rPr>
        <w:t xml:space="preserve">Trưởng Phòng Giáo dục và Đào tạo thành lập Hội đồng đánh giá, công nhận “Đơn vị học tập” cấp huyện gồm: </w:t>
      </w:r>
    </w:p>
    <w:p>
      <w:pPr>
        <w:spacing w:before="100"/>
        <w:ind w:firstLine="720"/>
        <w:jc w:val="both"/>
        <w:rPr>
          <w:sz w:val="28"/>
        </w:rPr>
      </w:pPr>
      <w:r>
        <w:rPr>
          <w:sz w:val="28"/>
        </w:rPr>
        <w:t xml:space="preserve">+ Chủ tịch Hội đồng: Lãnh đạo Phòng Giáo dục và Đào tạo. </w:t>
      </w:r>
    </w:p>
    <w:p>
      <w:pPr>
        <w:spacing w:before="100"/>
        <w:ind w:firstLine="720"/>
        <w:jc w:val="both"/>
        <w:rPr>
          <w:sz w:val="28"/>
        </w:rPr>
      </w:pPr>
      <w:r>
        <w:rPr>
          <w:sz w:val="28"/>
        </w:rPr>
        <w:t xml:space="preserve">+ Thư ký: Chuyên viên phòng Giáo dục và Đào tạo. </w:t>
      </w:r>
    </w:p>
    <w:p>
      <w:pPr>
        <w:spacing w:before="100"/>
        <w:ind w:firstLine="720"/>
        <w:jc w:val="both"/>
        <w:rPr>
          <w:sz w:val="28"/>
        </w:rPr>
      </w:pPr>
      <w:r>
        <w:rPr>
          <w:sz w:val="28"/>
        </w:rPr>
        <w:t xml:space="preserve">+ Các thành viên khác gồm: đại diện Phòng Nội vụ, đại diện Hội Khuyến học huyện, đại diện Liên đoàn Lao động huyện và có thêm một số thành viên khác. Số lượng thành viên là lẻ, tối thiểu là 05 người. </w:t>
      </w:r>
    </w:p>
    <w:p>
      <w:pPr>
        <w:spacing w:before="100"/>
        <w:ind w:firstLine="720"/>
        <w:jc w:val="both"/>
        <w:rPr>
          <w:sz w:val="28"/>
        </w:rPr>
      </w:pPr>
      <w:r>
        <w:rPr>
          <w:b/>
          <w:sz w:val="28"/>
        </w:rPr>
        <w:t>3. Đánh giá</w:t>
      </w:r>
      <w:r>
        <w:rPr>
          <w:sz w:val="28"/>
        </w:rPr>
        <w:t xml:space="preserve"> </w:t>
      </w:r>
    </w:p>
    <w:p>
      <w:pPr>
        <w:spacing w:before="100"/>
        <w:ind w:firstLine="720"/>
        <w:jc w:val="both"/>
        <w:rPr>
          <w:sz w:val="28"/>
        </w:rPr>
      </w:pPr>
      <w:r>
        <w:rPr>
          <w:sz w:val="28"/>
          <w:szCs w:val="28"/>
        </w:rPr>
        <w:t>Đối với Hội đồng đánh giá, công nhận “Đơn vị học tập” cấp huyện thực</w:t>
      </w:r>
      <w:r>
        <w:rPr>
          <w:sz w:val="28"/>
        </w:rPr>
        <w:t xml:space="preserve"> hiện theo Điểm c, d, đ Khoản 2, Điều 10 của Thông tư số 24. </w:t>
      </w:r>
    </w:p>
    <w:p>
      <w:pPr>
        <w:spacing w:before="100"/>
        <w:ind w:firstLine="720"/>
        <w:jc w:val="both"/>
        <w:rPr>
          <w:b/>
          <w:sz w:val="28"/>
        </w:rPr>
      </w:pPr>
      <w:r>
        <w:rPr>
          <w:b/>
          <w:sz w:val="28"/>
        </w:rPr>
        <w:t>4. Công nhận “Đơn vị học tập”</w:t>
      </w:r>
    </w:p>
    <w:p>
      <w:pPr>
        <w:spacing w:before="100"/>
        <w:ind w:firstLine="720"/>
        <w:jc w:val="both"/>
        <w:rPr>
          <w:sz w:val="28"/>
        </w:rPr>
      </w:pPr>
      <w:r>
        <w:rPr>
          <w:sz w:val="28"/>
        </w:rPr>
        <w:t xml:space="preserve"> - Căn cứ kết quả kiểm tra, Hội đồng đánh giá cấp huyện báo cáo Trưởng Phòng Giáo dục và Đào tạo để có văn bản trả lời đơn vị và nêu rõ lý do </w:t>
      </w:r>
      <w:r>
        <w:rPr>
          <w:b/>
          <w:sz w:val="28"/>
        </w:rPr>
        <w:t xml:space="preserve">không đạt </w:t>
      </w:r>
      <w:r>
        <w:rPr>
          <w:sz w:val="28"/>
        </w:rPr>
        <w:t xml:space="preserve">(đối với đơn vị không đạt); có văn bản trình Chủ tịch Ủy ban nhân dân huyện xem xét, quyết định công nhận đơn vị </w:t>
      </w:r>
      <w:r>
        <w:rPr>
          <w:b/>
          <w:sz w:val="28"/>
        </w:rPr>
        <w:t>đạt</w:t>
      </w:r>
      <w:r>
        <w:rPr>
          <w:sz w:val="28"/>
        </w:rPr>
        <w:t xml:space="preserve"> “Đơn vị học tập” cấp huyện. </w:t>
      </w:r>
    </w:p>
    <w:p>
      <w:pPr>
        <w:spacing w:before="100"/>
        <w:ind w:firstLine="720"/>
        <w:jc w:val="both"/>
        <w:rPr>
          <w:sz w:val="28"/>
        </w:rPr>
      </w:pPr>
      <w:r>
        <w:rPr>
          <w:sz w:val="28"/>
        </w:rPr>
        <w:t xml:space="preserve">- Thời gian hoàn thành </w:t>
      </w:r>
      <w:r>
        <w:rPr>
          <w:b/>
          <w:sz w:val="28"/>
        </w:rPr>
        <w:t xml:space="preserve">trước ngày 15/02 </w:t>
      </w:r>
      <w:r>
        <w:rPr>
          <w:sz w:val="28"/>
        </w:rPr>
        <w:t xml:space="preserve">hàng năm. </w:t>
      </w:r>
    </w:p>
    <w:p>
      <w:pPr>
        <w:spacing w:before="100"/>
        <w:ind w:firstLine="720"/>
        <w:jc w:val="both"/>
        <w:rPr>
          <w:b/>
          <w:sz w:val="28"/>
        </w:rPr>
      </w:pPr>
      <w:r>
        <w:rPr>
          <w:b/>
          <w:sz w:val="28"/>
        </w:rPr>
        <w:t xml:space="preserve">VI. TỔ CHỨC THỰC HIỆN </w:t>
      </w:r>
    </w:p>
    <w:p>
      <w:pPr>
        <w:spacing w:before="100"/>
        <w:ind w:firstLine="720"/>
        <w:jc w:val="both"/>
        <w:rPr>
          <w:b/>
          <w:sz w:val="28"/>
        </w:rPr>
      </w:pPr>
      <w:r>
        <w:rPr>
          <w:b/>
          <w:sz w:val="28"/>
        </w:rPr>
        <w:t xml:space="preserve">1. Đối với Phòng Giáo dục và Đào tạo </w:t>
      </w:r>
    </w:p>
    <w:p>
      <w:pPr>
        <w:spacing w:before="100"/>
        <w:ind w:firstLine="720"/>
        <w:jc w:val="both"/>
        <w:rPr>
          <w:sz w:val="28"/>
        </w:rPr>
      </w:pPr>
      <w:r>
        <w:rPr>
          <w:sz w:val="28"/>
        </w:rPr>
        <w:t>- Tham mưu UBND huyện chỉ đạo thực hiện đánh giá, công nhận “Đơn vị học tập” cấp huyện.</w:t>
      </w:r>
    </w:p>
    <w:p>
      <w:pPr>
        <w:spacing w:before="100"/>
        <w:ind w:firstLine="720"/>
        <w:jc w:val="both"/>
        <w:rPr>
          <w:sz w:val="28"/>
        </w:rPr>
      </w:pPr>
      <w:r>
        <w:rPr>
          <w:sz w:val="28"/>
        </w:rPr>
        <w:t xml:space="preserve">- Chủ trì, tổ chức kiểm tra việc thực hiện xây dựng “Đơn vị học tập” của các đơn vị cấp huyện. </w:t>
      </w:r>
    </w:p>
    <w:p>
      <w:pPr>
        <w:spacing w:before="100"/>
        <w:ind w:firstLine="720"/>
        <w:jc w:val="both"/>
        <w:rPr>
          <w:sz w:val="28"/>
        </w:rPr>
      </w:pPr>
      <w:r>
        <w:rPr>
          <w:sz w:val="28"/>
        </w:rPr>
        <w:t xml:space="preserve">- Chủ trì, phối hợp với Hội khuyến học và các phòng, ban, tổ chức chính trị xã hội huyện tổ chức đánh giá, công nhận “Đơn vị học tập” cấp huyện. </w:t>
      </w:r>
    </w:p>
    <w:p>
      <w:pPr>
        <w:spacing w:before="100"/>
        <w:ind w:firstLine="720"/>
        <w:jc w:val="both"/>
        <w:rPr>
          <w:sz w:val="28"/>
        </w:rPr>
      </w:pPr>
      <w:r>
        <w:rPr>
          <w:sz w:val="28"/>
        </w:rPr>
        <w:t xml:space="preserve">- Báo cáo kết quả đánh giá, công nhận “Đơn vị học tập” cấp huyện gửi về Sở Giáo dục và Đào tạo trước ngày 15 tháng 03 hàng năm. </w:t>
      </w:r>
    </w:p>
    <w:p>
      <w:pPr>
        <w:spacing w:before="100"/>
        <w:ind w:firstLine="720"/>
        <w:jc w:val="both"/>
        <w:rPr>
          <w:b/>
          <w:sz w:val="28"/>
        </w:rPr>
      </w:pPr>
      <w:r>
        <w:rPr>
          <w:b/>
          <w:sz w:val="28"/>
        </w:rPr>
        <w:t>2. Đối với Hội Khuyến học huyện</w:t>
      </w:r>
    </w:p>
    <w:p>
      <w:pPr>
        <w:spacing w:before="100"/>
        <w:ind w:firstLine="720"/>
        <w:jc w:val="both"/>
        <w:rPr>
          <w:sz w:val="28"/>
        </w:rPr>
      </w:pPr>
      <w:r>
        <w:rPr>
          <w:sz w:val="28"/>
        </w:rPr>
        <w:t>P</w:t>
      </w:r>
      <w:r>
        <w:rPr>
          <w:sz w:val="28"/>
        </w:rPr>
        <w:t>hối hợp với Phòng Giáo dục và Đào tạo</w:t>
      </w:r>
      <w:r>
        <w:rPr>
          <w:b/>
          <w:sz w:val="28"/>
        </w:rPr>
        <w:t xml:space="preserve"> </w:t>
      </w:r>
      <w:r>
        <w:rPr>
          <w:sz w:val="28"/>
        </w:rPr>
        <w:t xml:space="preserve">và các phòng, ban, tổ chức chính trị xã hội huyện tổ chức đánh giá, công nhận “Đơn vị học tập” cấp huyện. </w:t>
      </w:r>
    </w:p>
    <w:p>
      <w:pPr>
        <w:spacing w:before="100"/>
        <w:ind w:firstLine="720"/>
        <w:jc w:val="both"/>
        <w:rPr>
          <w:b/>
          <w:sz w:val="28"/>
        </w:rPr>
      </w:pPr>
      <w:r>
        <w:rPr>
          <w:b/>
          <w:sz w:val="28"/>
        </w:rPr>
        <w:t>3. Đối với các Đơn vị cấp huyện</w:t>
      </w:r>
    </w:p>
    <w:p>
      <w:pPr>
        <w:spacing w:before="100"/>
        <w:ind w:firstLine="720"/>
        <w:jc w:val="both"/>
        <w:rPr>
          <w:sz w:val="28"/>
        </w:rPr>
      </w:pPr>
      <w:r>
        <w:rPr>
          <w:sz w:val="28"/>
        </w:rPr>
        <w:t xml:space="preserve">- Tổ chức thực hiện xây dựng “Đơn vị học tập” cấp huyện đảm bảo thực chất, hiệu quả, lưu trữ hồ sơ tự đánh giá kèm các minh chứng của chỉ tiêu, tiêu chí quy định. </w:t>
      </w:r>
    </w:p>
    <w:p>
      <w:pPr>
        <w:spacing w:before="100"/>
        <w:ind w:firstLine="720"/>
        <w:jc w:val="both"/>
        <w:rPr>
          <w:sz w:val="28"/>
        </w:rPr>
      </w:pPr>
      <w:r>
        <w:rPr>
          <w:sz w:val="28"/>
        </w:rPr>
        <w:t xml:space="preserve">- Tổ chức tự đánh giá, đề nghị đánh giá, công nhận khi kết quả tự đánh giá đảm bảo đạt các điều kiện công nhận “Đơn vị học tập” cấp huyện theo quy định. </w:t>
      </w:r>
    </w:p>
    <w:p>
      <w:pPr>
        <w:spacing w:before="100"/>
        <w:ind w:firstLine="720"/>
        <w:jc w:val="both"/>
        <w:rPr>
          <w:sz w:val="28"/>
        </w:rPr>
      </w:pPr>
      <w:r>
        <w:rPr>
          <w:sz w:val="28"/>
        </w:rPr>
        <w:t xml:space="preserve">- Công bố công khai kết quả xây dựng “Đơn vị học tập”; duy trì, phát huy kết quả công nhận “Đơn vị học tập” để không ngừng nâng cao, cải tiến chất lượng. </w:t>
      </w:r>
    </w:p>
    <w:p>
      <w:pPr>
        <w:spacing w:before="100"/>
        <w:ind w:firstLine="720"/>
        <w:jc w:val="both"/>
        <w:rPr>
          <w:sz w:val="28"/>
        </w:rPr>
      </w:pPr>
      <w:r>
        <w:rPr>
          <w:sz w:val="28"/>
        </w:rPr>
        <w:t>Trên đây là Kế hoạch đánh giá</w:t>
      </w:r>
      <w:bookmarkStart w:id="0" w:name="_GoBack"/>
      <w:bookmarkEnd w:id="0"/>
      <w:r>
        <w:rPr>
          <w:sz w:val="28"/>
        </w:rPr>
        <w:t xml:space="preserve"> “Đơn vị học tập” cấp huyện trên địa bàn huyện Thạch Hà. Đề nghị các cơ quan, đơn vị cấp huyện triển khai thực hiện./.</w:t>
      </w:r>
    </w:p>
    <w:tbl>
      <w:tblPr>
        <w:tblpPr w:leftFromText="180" w:rightFromText="180" w:vertAnchor="text" w:horzAnchor="margin" w:tblpY="184"/>
        <w:tblW w:w="0" w:type="auto"/>
        <w:tblLook w:val="01E0" w:firstRow="1" w:lastRow="1" w:firstColumn="1" w:lastColumn="1" w:noHBand="0" w:noVBand="0"/>
      </w:tblPr>
      <w:tblGrid>
        <w:gridCol w:w="5070"/>
        <w:gridCol w:w="4218"/>
      </w:tblGrid>
      <w:tr>
        <w:tc>
          <w:tcPr>
            <w:tcW w:w="5070" w:type="dxa"/>
            <w:shd w:val="clear" w:color="auto" w:fill="auto"/>
          </w:tcPr>
          <w:p>
            <w:pPr>
              <w:rPr>
                <w:rFonts w:ascii=".VnTimeH" w:hAnsi=".VnTimeH"/>
                <w:sz w:val="4"/>
              </w:rPr>
            </w:pPr>
            <w:r>
              <w:rPr>
                <w:b/>
                <w:i/>
              </w:rPr>
              <w:t>Nơi nhận:</w:t>
            </w:r>
          </w:p>
          <w:p>
            <w:pPr>
              <w:rPr>
                <w:sz w:val="22"/>
              </w:rPr>
            </w:pPr>
            <w:r>
              <w:rPr>
                <w:sz w:val="22"/>
              </w:rPr>
              <w:t>- Chủ tịch, các Phó Chủ tịch UBND huyện;</w:t>
            </w:r>
          </w:p>
          <w:p>
            <w:pPr>
              <w:rPr>
                <w:sz w:val="22"/>
                <w:szCs w:val="22"/>
              </w:rPr>
            </w:pPr>
            <w:r>
              <w:rPr>
                <w:sz w:val="22"/>
                <w:szCs w:val="22"/>
              </w:rPr>
              <w:t>- Văn phòng: huyện ủy, HĐND, UBND huyện;</w:t>
            </w:r>
          </w:p>
          <w:p>
            <w:pPr>
              <w:rPr>
                <w:sz w:val="22"/>
                <w:szCs w:val="22"/>
              </w:rPr>
            </w:pPr>
            <w:r>
              <w:rPr>
                <w:sz w:val="22"/>
                <w:szCs w:val="22"/>
              </w:rPr>
              <w:t xml:space="preserve">- Ủy ban MTTQVN huyện; </w:t>
            </w:r>
          </w:p>
          <w:p>
            <w:pPr>
              <w:rPr>
                <w:sz w:val="22"/>
                <w:szCs w:val="22"/>
              </w:rPr>
            </w:pPr>
            <w:r>
              <w:rPr>
                <w:sz w:val="22"/>
                <w:szCs w:val="22"/>
              </w:rPr>
              <w:t xml:space="preserve">- Ban Chỉ huy Quân sự huyện; </w:t>
            </w:r>
          </w:p>
          <w:p>
            <w:pPr>
              <w:rPr>
                <w:sz w:val="22"/>
                <w:szCs w:val="22"/>
              </w:rPr>
            </w:pPr>
            <w:r>
              <w:rPr>
                <w:sz w:val="22"/>
                <w:szCs w:val="22"/>
              </w:rPr>
              <w:t xml:space="preserve">- Công an huyện; </w:t>
            </w:r>
          </w:p>
          <w:p>
            <w:pPr>
              <w:rPr>
                <w:sz w:val="22"/>
                <w:szCs w:val="22"/>
              </w:rPr>
            </w:pPr>
            <w:r>
              <w:rPr>
                <w:sz w:val="22"/>
                <w:szCs w:val="22"/>
              </w:rPr>
              <w:t xml:space="preserve">- Liên đoàn Lao động huyện; </w:t>
            </w:r>
          </w:p>
          <w:p>
            <w:pPr>
              <w:rPr>
                <w:sz w:val="22"/>
                <w:szCs w:val="22"/>
              </w:rPr>
            </w:pPr>
            <w:r>
              <w:rPr>
                <w:sz w:val="22"/>
                <w:szCs w:val="22"/>
              </w:rPr>
              <w:t xml:space="preserve">- Các phòng, ban, ngành, hội, đoàn thể huyện; </w:t>
            </w:r>
          </w:p>
          <w:p>
            <w:pPr>
              <w:rPr>
                <w:sz w:val="22"/>
                <w:szCs w:val="22"/>
              </w:rPr>
            </w:pPr>
            <w:r>
              <w:rPr>
                <w:sz w:val="22"/>
                <w:szCs w:val="22"/>
              </w:rPr>
              <w:t xml:space="preserve">- Trung tâm GDNN-GDTX huyện; </w:t>
            </w:r>
          </w:p>
          <w:p>
            <w:pPr>
              <w:rPr>
                <w:sz w:val="22"/>
                <w:szCs w:val="22"/>
              </w:rPr>
            </w:pPr>
            <w:r>
              <w:rPr>
                <w:sz w:val="22"/>
                <w:szCs w:val="22"/>
              </w:rPr>
              <w:t xml:space="preserve">- UBND các xã, thị trấn; </w:t>
            </w:r>
          </w:p>
          <w:p>
            <w:pPr>
              <w:rPr>
                <w:sz w:val="22"/>
                <w:szCs w:val="22"/>
              </w:rPr>
            </w:pPr>
            <w:r>
              <w:rPr>
                <w:sz w:val="22"/>
                <w:szCs w:val="22"/>
              </w:rPr>
              <w:t xml:space="preserve">- Các trường MN, TH, TH&amp;THCS, THCS; </w:t>
            </w:r>
          </w:p>
          <w:p>
            <w:pPr>
              <w:rPr>
                <w:sz w:val="22"/>
                <w:szCs w:val="22"/>
              </w:rPr>
            </w:pPr>
            <w:r>
              <w:rPr>
                <w:sz w:val="22"/>
                <w:szCs w:val="22"/>
              </w:rPr>
              <w:t xml:space="preserve">- Doanh nghiệp, hợp tác xã thuộc huyện; </w:t>
            </w:r>
          </w:p>
          <w:p>
            <w:r>
              <w:rPr>
                <w:sz w:val="22"/>
                <w:szCs w:val="22"/>
              </w:rPr>
              <w:t>- Lưu: VT</w:t>
            </w:r>
            <w:r>
              <w:t>.</w:t>
            </w:r>
          </w:p>
        </w:tc>
        <w:tc>
          <w:tcPr>
            <w:tcW w:w="4218" w:type="dxa"/>
            <w:shd w:val="clear" w:color="auto" w:fill="auto"/>
          </w:tcPr>
          <w:p>
            <w:pPr>
              <w:jc w:val="center"/>
              <w:rPr>
                <w:b/>
                <w:sz w:val="28"/>
              </w:rPr>
            </w:pPr>
            <w:r>
              <w:rPr>
                <w:b/>
                <w:sz w:val="28"/>
              </w:rPr>
              <w:t>TM. ỦY BAN NHÂN DÂN</w:t>
            </w:r>
          </w:p>
          <w:p>
            <w:pPr>
              <w:jc w:val="center"/>
              <w:rPr>
                <w:b/>
                <w:sz w:val="28"/>
              </w:rPr>
            </w:pPr>
            <w:r>
              <w:rPr>
                <w:b/>
                <w:sz w:val="28"/>
              </w:rPr>
              <w:t>KT. CHỦ TỊCH</w:t>
            </w:r>
          </w:p>
          <w:p>
            <w:pPr>
              <w:jc w:val="center"/>
              <w:rPr>
                <w:b/>
                <w:sz w:val="28"/>
              </w:rPr>
            </w:pPr>
            <w:r>
              <w:rPr>
                <w:b/>
                <w:sz w:val="28"/>
              </w:rPr>
              <w:t>PHÓ CHỦ TỊCH</w:t>
            </w:r>
          </w:p>
          <w:p>
            <w:pPr>
              <w:jc w:val="center"/>
              <w:rPr>
                <w:b/>
                <w:sz w:val="28"/>
              </w:rPr>
            </w:pPr>
          </w:p>
          <w:p>
            <w:pPr>
              <w:jc w:val="center"/>
              <w:rPr>
                <w:b/>
                <w:sz w:val="28"/>
              </w:rPr>
            </w:pPr>
          </w:p>
          <w:p>
            <w:pPr>
              <w:jc w:val="center"/>
              <w:rPr>
                <w:b/>
                <w:sz w:val="28"/>
              </w:rPr>
            </w:pPr>
          </w:p>
          <w:p>
            <w:pPr>
              <w:jc w:val="center"/>
              <w:rPr>
                <w:b/>
              </w:rPr>
            </w:pPr>
          </w:p>
          <w:p>
            <w:pPr>
              <w:jc w:val="center"/>
              <w:rPr>
                <w:b/>
                <w:sz w:val="28"/>
              </w:rPr>
            </w:pPr>
            <w:r>
              <w:rPr>
                <w:b/>
                <w:sz w:val="28"/>
              </w:rPr>
              <w:t>Nguyễn Bá Hà</w:t>
            </w:r>
          </w:p>
        </w:tc>
      </w:tr>
    </w:tbl>
    <w:p>
      <w:pPr>
        <w:spacing w:before="120"/>
        <w:ind w:firstLine="720"/>
        <w:jc w:val="both"/>
        <w:rPr>
          <w:sz w:val="28"/>
        </w:rPr>
      </w:pPr>
    </w:p>
    <w:p>
      <w:pPr>
        <w:spacing w:before="120"/>
        <w:ind w:firstLine="720"/>
        <w:jc w:val="both"/>
        <w:rPr>
          <w:sz w:val="34"/>
        </w:rPr>
      </w:pPr>
    </w:p>
    <w:p>
      <w:pPr>
        <w:spacing w:before="120"/>
        <w:ind w:firstLine="720"/>
        <w:jc w:val="both"/>
        <w:rPr>
          <w:sz w:val="32"/>
        </w:rPr>
      </w:pPr>
    </w:p>
    <w:p>
      <w:pPr>
        <w:spacing w:before="120"/>
        <w:ind w:firstLine="720"/>
        <w:jc w:val="both"/>
        <w:rPr>
          <w:sz w:val="40"/>
        </w:rPr>
      </w:pPr>
    </w:p>
    <w:sectPr>
      <w:headerReference w:type="default" r:id="rId7"/>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7321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HD</dc:creator>
  <cp:lastModifiedBy>User</cp:lastModifiedBy>
  <cp:revision>14</cp:revision>
  <dcterms:created xsi:type="dcterms:W3CDTF">2024-09-16T15:24:00Z</dcterms:created>
  <dcterms:modified xsi:type="dcterms:W3CDTF">2024-09-18T00:54:00Z</dcterms:modified>
</cp:coreProperties>
</file>