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4" w:type="dxa"/>
        <w:tblCellSpacing w:w="15" w:type="dxa"/>
        <w:tblInd w:w="-239" w:type="dxa"/>
        <w:tblLook w:val="04A0" w:firstRow="1" w:lastRow="0" w:firstColumn="1" w:lastColumn="0" w:noHBand="0" w:noVBand="1"/>
      </w:tblPr>
      <w:tblGrid>
        <w:gridCol w:w="3924"/>
        <w:gridCol w:w="6060"/>
      </w:tblGrid>
      <w:tr>
        <w:trPr>
          <w:trHeight w:val="667"/>
          <w:tblCellSpacing w:w="15" w:type="dxa"/>
        </w:trPr>
        <w:tc>
          <w:tcPr>
            <w:tcW w:w="3879" w:type="dxa"/>
            <w:tcMar>
              <w:top w:w="15" w:type="dxa"/>
              <w:left w:w="15" w:type="dxa"/>
              <w:bottom w:w="15" w:type="dxa"/>
              <w:right w:w="15" w:type="dxa"/>
            </w:tcMar>
            <w:hideMark/>
          </w:tcPr>
          <w:p>
            <w:pPr>
              <w:widowControl w:val="0"/>
              <w:jc w:val="center"/>
              <w:rPr>
                <w:b/>
                <w:color w:val="000000"/>
              </w:rPr>
            </w:pPr>
            <w:r>
              <w:rPr>
                <w:b/>
                <w:color w:val="000000"/>
              </w:rPr>
              <w:t xml:space="preserve">ỦY BAN NHÂN DÂN </w:t>
            </w:r>
          </w:p>
          <w:p>
            <w:pPr>
              <w:widowControl w:val="0"/>
              <w:jc w:val="center"/>
              <w:rPr>
                <w:b/>
                <w:color w:val="000000"/>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790575</wp:posOffset>
                      </wp:positionH>
                      <wp:positionV relativeFrom="paragraph">
                        <wp:posOffset>207010</wp:posOffset>
                      </wp:positionV>
                      <wp:extent cx="908050" cy="0"/>
                      <wp:effectExtent l="9525" t="6985" r="635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6.3pt" to="133.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i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"/>
                  </w:pict>
                </mc:Fallback>
              </mc:AlternateContent>
            </w:r>
            <w:r>
              <w:rPr>
                <w:b/>
                <w:color w:val="000000"/>
              </w:rPr>
              <w:t>HUYỆN THẠCH HÀ</w:t>
            </w:r>
          </w:p>
        </w:tc>
        <w:tc>
          <w:tcPr>
            <w:tcW w:w="6015" w:type="dxa"/>
            <w:tcMar>
              <w:top w:w="15" w:type="dxa"/>
              <w:left w:w="15" w:type="dxa"/>
              <w:bottom w:w="15" w:type="dxa"/>
              <w:right w:w="15" w:type="dxa"/>
            </w:tcMar>
            <w:hideMark/>
          </w:tcPr>
          <w:p>
            <w:pPr>
              <w:widowControl w:val="0"/>
              <w:jc w:val="center"/>
              <w:rPr>
                <w:color w:val="00000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844550</wp:posOffset>
                      </wp:positionH>
                      <wp:positionV relativeFrom="paragraph">
                        <wp:posOffset>434975</wp:posOffset>
                      </wp:positionV>
                      <wp:extent cx="2146300" cy="0"/>
                      <wp:effectExtent l="6350"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34.25pt" to="235.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"/>
                  </w:pict>
                </mc:Fallback>
              </mc:AlternateContent>
            </w:r>
            <w:r>
              <w:rPr>
                <w:b/>
                <w:bCs/>
                <w:color w:val="000000"/>
              </w:rPr>
              <w:t>CỘNG HÒA XÃ HỘI CHỦ NGHĨA VIỆT NAM</w:t>
            </w:r>
            <w:r>
              <w:rPr>
                <w:b/>
                <w:bCs/>
                <w:color w:val="000000"/>
                <w:sz w:val="28"/>
                <w:szCs w:val="28"/>
              </w:rPr>
              <w:t> </w:t>
            </w:r>
            <w:r>
              <w:rPr>
                <w:b/>
                <w:bCs/>
                <w:color w:val="000000"/>
                <w:sz w:val="28"/>
                <w:szCs w:val="28"/>
              </w:rPr>
              <w:br/>
              <w:t>Độc lập - Tự do - Hạnh phúc </w:t>
            </w:r>
          </w:p>
        </w:tc>
      </w:tr>
      <w:tr>
        <w:trPr>
          <w:tblCellSpacing w:w="15" w:type="dxa"/>
        </w:trPr>
        <w:tc>
          <w:tcPr>
            <w:tcW w:w="3879" w:type="dxa"/>
            <w:tcMar>
              <w:top w:w="15" w:type="dxa"/>
              <w:left w:w="15" w:type="dxa"/>
              <w:bottom w:w="15" w:type="dxa"/>
              <w:right w:w="15" w:type="dxa"/>
            </w:tcMar>
          </w:tcPr>
          <w:p>
            <w:pPr>
              <w:widowControl w:val="0"/>
              <w:spacing w:line="340" w:lineRule="exact"/>
              <w:jc w:val="center"/>
              <w:rPr>
                <w:color w:val="000000"/>
                <w:sz w:val="22"/>
                <w:szCs w:val="28"/>
              </w:rPr>
            </w:pPr>
          </w:p>
          <w:p>
            <w:pPr>
              <w:widowControl w:val="0"/>
              <w:spacing w:line="340" w:lineRule="exact"/>
              <w:jc w:val="center"/>
              <w:rPr>
                <w:color w:val="000000"/>
              </w:rPr>
            </w:pPr>
            <w:r>
              <w:rPr>
                <w:color w:val="000000"/>
              </w:rPr>
              <w:t>Số:          /KH-UBND</w:t>
            </w:r>
          </w:p>
        </w:tc>
        <w:tc>
          <w:tcPr>
            <w:tcW w:w="6015" w:type="dxa"/>
            <w:tcMar>
              <w:top w:w="15" w:type="dxa"/>
              <w:left w:w="15" w:type="dxa"/>
              <w:bottom w:w="15" w:type="dxa"/>
              <w:right w:w="15" w:type="dxa"/>
            </w:tcMar>
            <w:hideMark/>
          </w:tcPr>
          <w:p>
            <w:pPr>
              <w:widowControl w:val="0"/>
              <w:spacing w:line="340" w:lineRule="exact"/>
              <w:rPr>
                <w:i/>
                <w:iCs/>
                <w:color w:val="000000"/>
                <w:sz w:val="20"/>
                <w:szCs w:val="28"/>
              </w:rPr>
            </w:pPr>
            <w:r>
              <w:rPr>
                <w:i/>
                <w:iCs/>
                <w:color w:val="000000"/>
                <w:sz w:val="27"/>
                <w:szCs w:val="27"/>
              </w:rPr>
              <w:t xml:space="preserve">              </w:t>
            </w:r>
            <w:r>
              <w:rPr>
                <w:i/>
                <w:iCs/>
                <w:color w:val="000000"/>
                <w:sz w:val="28"/>
                <w:szCs w:val="28"/>
              </w:rPr>
              <w:t xml:space="preserve">   </w:t>
            </w:r>
          </w:p>
          <w:p>
            <w:pPr>
              <w:widowControl w:val="0"/>
              <w:spacing w:line="340" w:lineRule="exact"/>
              <w:rPr>
                <w:color w:val="000000"/>
                <w:sz w:val="28"/>
                <w:szCs w:val="28"/>
              </w:rPr>
            </w:pPr>
            <w:r>
              <w:rPr>
                <w:i/>
                <w:iCs/>
                <w:color w:val="000000"/>
                <w:sz w:val="28"/>
                <w:szCs w:val="28"/>
              </w:rPr>
              <w:t xml:space="preserve">        Thạch Hà,  ngày       tháng       năm 2024</w:t>
            </w:r>
          </w:p>
        </w:tc>
      </w:tr>
    </w:tbl>
    <w:p>
      <w:pPr>
        <w:widowControl w:val="0"/>
        <w:spacing w:line="340" w:lineRule="exact"/>
        <w:jc w:val="center"/>
        <w:rPr>
          <w:color w:val="000000"/>
          <w:sz w:val="28"/>
          <w:szCs w:val="28"/>
        </w:rPr>
      </w:pPr>
      <w:r>
        <w:rPr>
          <w:color w:val="000000"/>
          <w:sz w:val="28"/>
          <w:szCs w:val="28"/>
        </w:rPr>
        <w:t xml:space="preserve">       </w:t>
      </w:r>
    </w:p>
    <w:p>
      <w:pPr>
        <w:widowControl w:val="0"/>
        <w:spacing w:line="340" w:lineRule="exact"/>
        <w:jc w:val="center"/>
        <w:rPr>
          <w:b/>
          <w:sz w:val="28"/>
          <w:szCs w:val="28"/>
          <w:lang w:val="nl-NL"/>
        </w:rPr>
      </w:pPr>
      <w:r>
        <w:rPr>
          <w:b/>
          <w:sz w:val="28"/>
          <w:szCs w:val="28"/>
          <w:lang w:val="nl-NL"/>
        </w:rPr>
        <w:t>KẾ HOẠCH</w:t>
      </w:r>
    </w:p>
    <w:p>
      <w:pPr>
        <w:widowControl w:val="0"/>
        <w:tabs>
          <w:tab w:val="left" w:pos="3945"/>
        </w:tabs>
        <w:spacing w:line="340" w:lineRule="exact"/>
        <w:jc w:val="center"/>
        <w:rPr>
          <w:b/>
          <w:color w:val="000000"/>
          <w:sz w:val="42"/>
          <w:szCs w:val="40"/>
        </w:rPr>
      </w:pPr>
      <w:r>
        <w:rPr>
          <w:b/>
          <w:sz w:val="28"/>
        </w:rPr>
        <w:t>Thực hiện đánh giá, công nhận “Cộng đồng học tập” cấp xã; tự đánh giá đề nghị công nhận “Cộng đồng học tập” cấp huyện theo thông tư số 25/2023/TT-BGDĐT ngày 27/12/2023 của Bộ GDĐT</w:t>
      </w:r>
    </w:p>
    <w:p>
      <w:pPr>
        <w:widowControl w:val="0"/>
        <w:spacing w:before="240"/>
        <w:ind w:firstLine="720"/>
        <w:jc w:val="both"/>
        <w:rPr>
          <w:sz w:val="28"/>
        </w:rPr>
      </w:pPr>
      <w:r>
        <w:rPr>
          <w:b/>
          <w:noProof/>
          <w:sz w:val="28"/>
        </w:rPr>
        <mc:AlternateContent>
          <mc:Choice Requires="wps">
            <w:drawing>
              <wp:anchor distT="0" distB="0" distL="114300" distR="114300" simplePos="0" relativeHeight="251658752" behindDoc="0" locked="0" layoutInCell="1" allowOverlap="1">
                <wp:simplePos x="0" y="0"/>
                <wp:positionH relativeFrom="column">
                  <wp:posOffset>1950085</wp:posOffset>
                </wp:positionH>
                <wp:positionV relativeFrom="paragraph">
                  <wp:posOffset>-635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5pt,-.05pt" to="288.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"/>
            </w:pict>
          </mc:Fallback>
        </mc:AlternateContent>
      </w:r>
      <w:r>
        <w:rPr>
          <w:sz w:val="28"/>
        </w:rPr>
        <w:t xml:space="preserve">Căn cứ Thông tư số 25/2023/TT-BGDĐT ngày 27/12/2023 của Bộ Giáo dục và Đào tạo về Quy định đánh giá, công nhận “Cộng đồng học tập” cấp xã, huyện, cấp tỉnh </w:t>
      </w:r>
      <w:r>
        <w:rPr>
          <w:i/>
          <w:sz w:val="28"/>
        </w:rPr>
        <w:t>(gọi tắt là Thông tư số 25)</w:t>
      </w:r>
      <w:r>
        <w:rPr>
          <w:sz w:val="28"/>
        </w:rPr>
        <w:t xml:space="preserve">; Công văn số 4481/UBND-VX của Ủy ban nhân dân tỉnh Hà Tĩnh về triển khai thực hiện Thông tư số 24/2023/TT-BGDĐT và Thông tư số 25/2023/TT-BGDĐT của Bộ Giáo dục và Đào tạo, Ủy ban nhân dân huyện (UBND) </w:t>
      </w:r>
      <w:bookmarkStart w:id="0" w:name="_GoBack"/>
      <w:bookmarkEnd w:id="0"/>
      <w:r>
        <w:rPr>
          <w:sz w:val="28"/>
        </w:rPr>
        <w:t>xây dựng kế hoạch thực hiện đánh giá, công nhận “Cộng đồng học tập” cấp xã, cấp huyện trên địa bàn huyện cụ thể như sau:</w:t>
      </w:r>
    </w:p>
    <w:p>
      <w:pPr>
        <w:widowControl w:val="0"/>
        <w:spacing w:before="120"/>
        <w:ind w:firstLine="720"/>
        <w:jc w:val="both"/>
        <w:rPr>
          <w:b/>
          <w:sz w:val="28"/>
        </w:rPr>
      </w:pPr>
      <w:r>
        <w:rPr>
          <w:b/>
          <w:sz w:val="28"/>
        </w:rPr>
        <w:t>I. MỤC ĐÍCH, NGUYÊN  TẮC ĐÁNH GIÁ, CÔNG NHẬN</w:t>
      </w:r>
    </w:p>
    <w:p>
      <w:pPr>
        <w:widowControl w:val="0"/>
        <w:spacing w:before="120"/>
        <w:ind w:firstLine="720"/>
        <w:jc w:val="both"/>
        <w:rPr>
          <w:b/>
          <w:sz w:val="28"/>
        </w:rPr>
      </w:pPr>
      <w:r>
        <w:rPr>
          <w:b/>
          <w:sz w:val="28"/>
        </w:rPr>
        <w:t>1. Mục đích</w:t>
      </w:r>
    </w:p>
    <w:p>
      <w:pPr>
        <w:widowControl w:val="0"/>
        <w:spacing w:before="120"/>
        <w:ind w:firstLine="720"/>
        <w:jc w:val="both"/>
        <w:rPr>
          <w:sz w:val="28"/>
        </w:rPr>
      </w:pPr>
      <w:r>
        <w:rPr>
          <w:sz w:val="28"/>
        </w:rPr>
        <w:t xml:space="preserve">- Tuyên truyền, nâng cao nhận thức của cấp ủy đảng, chính quyền các cấp về tầm quan trọng của việc xây dựng “Cộng đồng học tập” cấp xã, huyện nhằm tạo các cơ hội học tập công bằng và điều kiện thuận lợi để mọi người trong xã hội được tham gia học tập, thúc đẩy phong trào học tập thường xuyên, học tập suốt đời, góp phần xây dựng xã hội học tập. </w:t>
      </w:r>
    </w:p>
    <w:p>
      <w:pPr>
        <w:widowControl w:val="0"/>
        <w:spacing w:before="120"/>
        <w:ind w:firstLine="720"/>
        <w:jc w:val="both"/>
        <w:rPr>
          <w:sz w:val="28"/>
        </w:rPr>
      </w:pPr>
      <w:r>
        <w:rPr>
          <w:sz w:val="28"/>
        </w:rPr>
        <w:t xml:space="preserve">- Giúp UBND các xã, thị trấn tự đánh giá thực trạng xây dựng xã hội học tập; xây dựng và thực hiện kế hoạch xây dựng xã hội học tập phù hợp với thực tế của địa phương. </w:t>
      </w:r>
    </w:p>
    <w:p>
      <w:pPr>
        <w:widowControl w:val="0"/>
        <w:spacing w:before="120"/>
        <w:ind w:firstLine="720"/>
        <w:jc w:val="both"/>
        <w:rPr>
          <w:sz w:val="28"/>
        </w:rPr>
      </w:pPr>
      <w:r>
        <w:rPr>
          <w:sz w:val="28"/>
        </w:rPr>
        <w:t xml:space="preserve">- Làm căn cứ để đánh giá, công nhận “Cộng đồng học tập” cấp xã, huyện. </w:t>
      </w:r>
    </w:p>
    <w:p>
      <w:pPr>
        <w:widowControl w:val="0"/>
        <w:spacing w:before="120"/>
        <w:ind w:firstLine="720"/>
        <w:jc w:val="both"/>
        <w:rPr>
          <w:b/>
          <w:sz w:val="28"/>
        </w:rPr>
      </w:pPr>
      <w:r>
        <w:rPr>
          <w:b/>
          <w:sz w:val="28"/>
        </w:rPr>
        <w:t>2. Nguyên tắc đánh giá, công nhận</w:t>
      </w:r>
    </w:p>
    <w:p>
      <w:pPr>
        <w:widowControl w:val="0"/>
        <w:spacing w:before="120"/>
        <w:ind w:firstLine="720"/>
        <w:jc w:val="both"/>
        <w:rPr>
          <w:sz w:val="28"/>
        </w:rPr>
      </w:pPr>
      <w:r>
        <w:rPr>
          <w:sz w:val="28"/>
        </w:rPr>
        <w:t xml:space="preserve">Việc đánh giá, công nhận “Cộng đồng học tập” cấp xã, tự đánh giá đề nghị công nhận “Cộng đồng học tập” cấp huyện được triển khai theo nguyên tắc công khai, dân chủ, minh bạch; đúng tiêu chí, điều kiện, quy trình, thẩm quyền quy định tại Thông tư số 25. </w:t>
      </w:r>
    </w:p>
    <w:p>
      <w:pPr>
        <w:widowControl w:val="0"/>
        <w:spacing w:before="120"/>
        <w:ind w:firstLine="720"/>
        <w:jc w:val="both"/>
        <w:rPr>
          <w:b/>
          <w:sz w:val="28"/>
        </w:rPr>
      </w:pPr>
      <w:r>
        <w:rPr>
          <w:b/>
          <w:sz w:val="28"/>
        </w:rPr>
        <w:t xml:space="preserve">II. ĐÁNH GIÁ, CÔNG NHẬN “CỘNG ĐỒNG HỌC TẬP” CẤP XÃ </w:t>
      </w:r>
    </w:p>
    <w:p>
      <w:pPr>
        <w:widowControl w:val="0"/>
        <w:spacing w:before="120"/>
        <w:ind w:firstLine="720"/>
        <w:jc w:val="both"/>
        <w:rPr>
          <w:b/>
          <w:sz w:val="28"/>
          <w:szCs w:val="28"/>
        </w:rPr>
      </w:pPr>
      <w:r>
        <w:rPr>
          <w:b/>
          <w:sz w:val="28"/>
          <w:szCs w:val="28"/>
        </w:rPr>
        <w:t xml:space="preserve">1. Thẩm quyền đánh giá, công nhận, mức độ và thời gian công nhận </w:t>
      </w:r>
    </w:p>
    <w:p>
      <w:pPr>
        <w:widowControl w:val="0"/>
        <w:spacing w:before="120"/>
        <w:ind w:firstLine="720"/>
        <w:jc w:val="both"/>
        <w:rPr>
          <w:sz w:val="28"/>
          <w:szCs w:val="28"/>
        </w:rPr>
      </w:pPr>
      <w:r>
        <w:rPr>
          <w:sz w:val="28"/>
          <w:szCs w:val="28"/>
        </w:rPr>
        <w:t xml:space="preserve">- Trưởng phòng Giáo dục và Đào tạo quyết định công nhận xã đạt “Cộng đồng học tập” cấp xã. </w:t>
      </w:r>
    </w:p>
    <w:p>
      <w:pPr>
        <w:widowControl w:val="0"/>
        <w:spacing w:before="120"/>
        <w:ind w:firstLine="720"/>
        <w:jc w:val="both"/>
        <w:rPr>
          <w:sz w:val="28"/>
          <w:szCs w:val="28"/>
        </w:rPr>
      </w:pPr>
      <w:r>
        <w:rPr>
          <w:sz w:val="28"/>
          <w:szCs w:val="28"/>
        </w:rPr>
        <w:t xml:space="preserve">- Công nhận “Cộng đồng học tập” cấp xã theo 2 mức độ: Mức độ 1 (hay còn gọi là mức Khá), mức độ 2 (hay còn gọi là mức Tốt). Xã, thị trấn được công nhận mức độ 1 sau ít nhất 01 năm (12 tháng) kể từ ngày ra quyết định công nhận </w:t>
      </w:r>
      <w:r>
        <w:rPr>
          <w:sz w:val="28"/>
          <w:szCs w:val="28"/>
        </w:rPr>
        <w:lastRenderedPageBreak/>
        <w:t>có thể đề nghị đánh giá, công nhận nâng mức độ 2. Kết quả công nhận được bảo lưu trong thời hạn 03 năm (36 tháng) tiếp theo năm được công nhận.</w:t>
      </w:r>
    </w:p>
    <w:p>
      <w:pPr>
        <w:widowControl w:val="0"/>
        <w:spacing w:before="120"/>
        <w:ind w:firstLine="720"/>
        <w:jc w:val="both"/>
        <w:rPr>
          <w:b/>
          <w:sz w:val="28"/>
          <w:szCs w:val="28"/>
        </w:rPr>
      </w:pPr>
      <w:r>
        <w:rPr>
          <w:b/>
          <w:sz w:val="28"/>
          <w:szCs w:val="28"/>
        </w:rPr>
        <w:t xml:space="preserve">2. Tiêu chí đánh giá, công nhận “Cộng đồng học tập” cấp xã </w:t>
      </w:r>
    </w:p>
    <w:p>
      <w:pPr>
        <w:widowControl w:val="0"/>
        <w:spacing w:before="120"/>
        <w:ind w:firstLine="720"/>
        <w:jc w:val="both"/>
        <w:rPr>
          <w:sz w:val="28"/>
          <w:szCs w:val="28"/>
        </w:rPr>
      </w:pPr>
      <w:r>
        <w:rPr>
          <w:sz w:val="28"/>
          <w:szCs w:val="28"/>
        </w:rPr>
        <w:t>Mức độ 1: Thực hiện theo quy định tại Điều 6 Thông tư số 25/2023/TT-BGDĐT của Bộ Giáo dục và Đào tạo.</w:t>
      </w:r>
    </w:p>
    <w:p>
      <w:pPr>
        <w:widowControl w:val="0"/>
        <w:spacing w:before="120"/>
        <w:ind w:firstLine="720"/>
        <w:jc w:val="both"/>
        <w:rPr>
          <w:sz w:val="28"/>
          <w:szCs w:val="28"/>
        </w:rPr>
      </w:pPr>
      <w:r>
        <w:rPr>
          <w:sz w:val="28"/>
          <w:szCs w:val="28"/>
        </w:rPr>
        <w:t>Mức độ 2: Thực hiện theo quy định tại Điều 7 Thông tư số 25/2023/TT-BGDĐT của Bộ Giáo dục và Đào tạo.</w:t>
      </w:r>
    </w:p>
    <w:p>
      <w:pPr>
        <w:widowControl w:val="0"/>
        <w:spacing w:before="120"/>
        <w:ind w:firstLine="720"/>
        <w:jc w:val="both"/>
        <w:rPr>
          <w:b/>
          <w:spacing w:val="-4"/>
          <w:sz w:val="28"/>
          <w:szCs w:val="28"/>
        </w:rPr>
      </w:pPr>
      <w:r>
        <w:rPr>
          <w:b/>
          <w:spacing w:val="-4"/>
          <w:sz w:val="28"/>
          <w:szCs w:val="28"/>
        </w:rPr>
        <w:t>3. Điều kiện công nhận, cách thức đánh giá “Cộng đồng học tập” cấp xã</w:t>
      </w:r>
    </w:p>
    <w:p>
      <w:pPr>
        <w:widowControl w:val="0"/>
        <w:spacing w:before="120"/>
        <w:ind w:firstLine="720"/>
        <w:jc w:val="both"/>
        <w:rPr>
          <w:sz w:val="28"/>
          <w:szCs w:val="28"/>
        </w:rPr>
      </w:pPr>
      <w:r>
        <w:rPr>
          <w:sz w:val="28"/>
          <w:szCs w:val="28"/>
        </w:rPr>
        <w:t>Thực hiện theo quy định tại Điều 8 Thông tư số 25/2023/TT-BGDĐT của Bộ Giáo dục và Đào tạo.</w:t>
      </w:r>
    </w:p>
    <w:p>
      <w:pPr>
        <w:widowControl w:val="0"/>
        <w:spacing w:before="120"/>
        <w:ind w:firstLine="720"/>
        <w:jc w:val="both"/>
        <w:rPr>
          <w:b/>
          <w:sz w:val="28"/>
          <w:szCs w:val="28"/>
        </w:rPr>
      </w:pPr>
      <w:r>
        <w:rPr>
          <w:b/>
          <w:sz w:val="28"/>
          <w:szCs w:val="28"/>
        </w:rPr>
        <w:t>4. Quy trình đánh giá, công nhận “Cộng đồng học tập” cấp xã</w:t>
      </w:r>
    </w:p>
    <w:p>
      <w:pPr>
        <w:widowControl w:val="0"/>
        <w:spacing w:before="120"/>
        <w:ind w:firstLine="720"/>
        <w:jc w:val="both"/>
        <w:rPr>
          <w:b/>
          <w:sz w:val="28"/>
          <w:szCs w:val="28"/>
        </w:rPr>
      </w:pPr>
      <w:r>
        <w:rPr>
          <w:b/>
          <w:sz w:val="28"/>
          <w:szCs w:val="28"/>
        </w:rPr>
        <w:t>4.1. Ủy ban nhân dân các xã, thị trấn</w:t>
      </w:r>
    </w:p>
    <w:p>
      <w:pPr>
        <w:widowControl w:val="0"/>
        <w:spacing w:before="120"/>
        <w:ind w:firstLine="720"/>
        <w:jc w:val="both"/>
        <w:rPr>
          <w:sz w:val="28"/>
          <w:szCs w:val="28"/>
        </w:rPr>
      </w:pPr>
      <w:r>
        <w:rPr>
          <w:sz w:val="28"/>
          <w:szCs w:val="28"/>
        </w:rPr>
        <w:t>Tổ chức triển khai việc tự đánh giá, công nhận “Cộng đồng học tập” cấp xã theo quy trình sau đây:</w:t>
      </w:r>
    </w:p>
    <w:p>
      <w:pPr>
        <w:widowControl w:val="0"/>
        <w:spacing w:before="120"/>
        <w:ind w:firstLine="720"/>
        <w:jc w:val="both"/>
        <w:rPr>
          <w:sz w:val="28"/>
          <w:szCs w:val="28"/>
        </w:rPr>
      </w:pPr>
      <w:r>
        <w:rPr>
          <w:sz w:val="28"/>
          <w:szCs w:val="28"/>
        </w:rPr>
        <w:t>a) Ủy ban nhân dân cấp xã, thị trấn tổ chức thực hiện tự đánh giá, công nhận “Cộng đồng học tập” cấp xã theo các tiêu chí, chỉ tiêu quy định tại Điều 6, Điều 7 Thông tư số 25/2023/TT-BGDĐT của Bộ Giáo dục và Đào tạo.</w:t>
      </w:r>
    </w:p>
    <w:p>
      <w:pPr>
        <w:widowControl w:val="0"/>
        <w:spacing w:before="120"/>
        <w:ind w:firstLine="720"/>
        <w:jc w:val="both"/>
        <w:rPr>
          <w:sz w:val="28"/>
        </w:rPr>
      </w:pPr>
      <w:r>
        <w:rPr>
          <w:sz w:val="28"/>
        </w:rPr>
        <w:t xml:space="preserve">b) Xây dựng báo cáo tự đánh giá, công nhận </w:t>
      </w:r>
      <w:r>
        <w:rPr>
          <w:sz w:val="28"/>
          <w:szCs w:val="28"/>
        </w:rPr>
        <w:t>“Cộng đồng học tập” cấp xã;</w:t>
      </w:r>
      <w:r>
        <w:rPr>
          <w:sz w:val="28"/>
        </w:rPr>
        <w:t xml:space="preserve"> bản tổng hợp kết quá đánh giá các tiêu chí, chỉ tiêu; thông tin số liệu của báo cáo tự đánh giá và bản tổng hợp kết quả đánh giá các tiêu chí, chỉ tiêu được tính từ ngày 01 tháng 01 đến ngày 31 tháng 12 của năm đánh giá .</w:t>
      </w:r>
    </w:p>
    <w:p>
      <w:pPr>
        <w:widowControl w:val="0"/>
        <w:spacing w:before="120"/>
        <w:ind w:firstLine="720"/>
        <w:jc w:val="both"/>
        <w:rPr>
          <w:sz w:val="28"/>
          <w:szCs w:val="28"/>
        </w:rPr>
      </w:pPr>
      <w:r>
        <w:rPr>
          <w:sz w:val="28"/>
        </w:rPr>
        <w:t xml:space="preserve">c) Tổ chức cuộc họp, xem xét, đánh giá, thống nhất kết quả tự đánh giá công nhận </w:t>
      </w:r>
      <w:r>
        <w:rPr>
          <w:sz w:val="28"/>
          <w:szCs w:val="28"/>
        </w:rPr>
        <w:t>“Cộng đồng học tập” cấp xã. Cuộc họp do đại diện Ủy ban nhân dân xã, thị trấn chủ trì. Thành phần gồm: Đại diện lãnh đạo Hội Khuyến học cấp xã, đại diện lãnh đạo Ủy ban Mặt trận Tổ quốc Việt Nam, các tổ chức chính trị xã hội cấp xã.</w:t>
      </w:r>
    </w:p>
    <w:p>
      <w:pPr>
        <w:widowControl w:val="0"/>
        <w:spacing w:before="120"/>
        <w:ind w:firstLine="720"/>
        <w:jc w:val="both"/>
        <w:rPr>
          <w:sz w:val="28"/>
        </w:rPr>
      </w:pPr>
      <w:r>
        <w:rPr>
          <w:sz w:val="28"/>
          <w:szCs w:val="28"/>
        </w:rPr>
        <w:t>d) Căn cứ kết quả tự đánh giá, nếu xã đáp ứng đầy đủ các điều kiện công nhận “Cộng đồng học tập” ở mức nào thì Ủy ban nhân dân cấp xã gửi hồ sơ đề nghị công nhận ở mức độ đó đến Phòng Giáo dục và Đào tạo trước ngày 28 tháng 02 của năm sau liền kề năm đánh giá.</w:t>
      </w:r>
    </w:p>
    <w:p>
      <w:pPr>
        <w:widowControl w:val="0"/>
        <w:spacing w:before="120"/>
        <w:ind w:firstLine="720"/>
        <w:jc w:val="both"/>
        <w:rPr>
          <w:spacing w:val="-4"/>
          <w:sz w:val="28"/>
          <w:szCs w:val="28"/>
        </w:rPr>
      </w:pPr>
      <w:r>
        <w:rPr>
          <w:b/>
          <w:spacing w:val="-6"/>
          <w:sz w:val="28"/>
        </w:rPr>
        <w:t xml:space="preserve">* Hồ sơ đề nghị </w:t>
      </w:r>
      <w:r>
        <w:rPr>
          <w:b/>
          <w:spacing w:val="-6"/>
          <w:sz w:val="28"/>
          <w:szCs w:val="28"/>
        </w:rPr>
        <w:t>đánh giá, công nhận “Cộng đồng học tập” cấp xã gồm</w:t>
      </w:r>
      <w:r>
        <w:rPr>
          <w:spacing w:val="-4"/>
          <w:sz w:val="28"/>
          <w:szCs w:val="28"/>
        </w:rPr>
        <w:t>:</w:t>
      </w:r>
    </w:p>
    <w:p>
      <w:pPr>
        <w:widowControl w:val="0"/>
        <w:spacing w:before="120"/>
        <w:ind w:firstLine="720"/>
        <w:jc w:val="both"/>
        <w:rPr>
          <w:sz w:val="28"/>
          <w:szCs w:val="28"/>
        </w:rPr>
      </w:pPr>
      <w:r>
        <w:rPr>
          <w:sz w:val="28"/>
        </w:rPr>
        <w:t>- Tờ trình đề nghị đánh giá, công nhận</w:t>
      </w:r>
      <w:r>
        <w:rPr>
          <w:b/>
          <w:sz w:val="28"/>
          <w:szCs w:val="28"/>
        </w:rPr>
        <w:t xml:space="preserve"> </w:t>
      </w:r>
      <w:r>
        <w:rPr>
          <w:sz w:val="28"/>
          <w:szCs w:val="28"/>
        </w:rPr>
        <w:t>“Cộng đồng học tập” cấp xã;</w:t>
      </w:r>
    </w:p>
    <w:p>
      <w:pPr>
        <w:widowControl w:val="0"/>
        <w:spacing w:before="120"/>
        <w:ind w:firstLine="720"/>
        <w:jc w:val="both"/>
        <w:rPr>
          <w:sz w:val="28"/>
          <w:szCs w:val="28"/>
        </w:rPr>
      </w:pPr>
      <w:r>
        <w:rPr>
          <w:sz w:val="28"/>
        </w:rPr>
        <w:t>- Báo cáo tự đánh giá, công nhận</w:t>
      </w:r>
      <w:r>
        <w:rPr>
          <w:b/>
          <w:sz w:val="28"/>
          <w:szCs w:val="28"/>
        </w:rPr>
        <w:t xml:space="preserve"> </w:t>
      </w:r>
      <w:r>
        <w:rPr>
          <w:sz w:val="28"/>
          <w:szCs w:val="28"/>
        </w:rPr>
        <w:t>“Cộng đồng học tập” cấp xã;</w:t>
      </w:r>
    </w:p>
    <w:p>
      <w:pPr>
        <w:widowControl w:val="0"/>
        <w:spacing w:before="120"/>
        <w:ind w:firstLine="720"/>
        <w:jc w:val="both"/>
        <w:rPr>
          <w:sz w:val="28"/>
          <w:szCs w:val="28"/>
        </w:rPr>
      </w:pPr>
      <w:r>
        <w:rPr>
          <w:sz w:val="28"/>
          <w:szCs w:val="28"/>
        </w:rPr>
        <w:t>- Bản tổng hợp kết quả đánh giá các tiêu chí, chỉ tiêu.</w:t>
      </w:r>
    </w:p>
    <w:p>
      <w:pPr>
        <w:widowControl w:val="0"/>
        <w:spacing w:before="120"/>
        <w:ind w:firstLine="720"/>
        <w:jc w:val="both"/>
        <w:rPr>
          <w:b/>
          <w:sz w:val="28"/>
          <w:szCs w:val="28"/>
        </w:rPr>
      </w:pPr>
      <w:r>
        <w:rPr>
          <w:b/>
          <w:sz w:val="28"/>
          <w:szCs w:val="28"/>
        </w:rPr>
        <w:t>4.2. Phòng Giáo dục và Đào tạo</w:t>
      </w:r>
    </w:p>
    <w:p>
      <w:pPr>
        <w:widowControl w:val="0"/>
        <w:spacing w:before="120"/>
        <w:ind w:firstLine="720"/>
        <w:jc w:val="both"/>
        <w:rPr>
          <w:sz w:val="28"/>
          <w:szCs w:val="28"/>
        </w:rPr>
      </w:pPr>
      <w:r>
        <w:rPr>
          <w:sz w:val="28"/>
          <w:szCs w:val="28"/>
        </w:rPr>
        <w:t xml:space="preserve">Tổ chức đánh giá, xem xét, quyết định công nhận xã đạt “Cộng đồng học tập” cấp xã theo quy trình sau đây: </w:t>
      </w:r>
    </w:p>
    <w:p>
      <w:pPr>
        <w:widowControl w:val="0"/>
        <w:spacing w:before="120"/>
        <w:ind w:firstLine="720"/>
        <w:jc w:val="both"/>
        <w:rPr>
          <w:sz w:val="28"/>
          <w:szCs w:val="28"/>
        </w:rPr>
      </w:pPr>
      <w:r>
        <w:rPr>
          <w:sz w:val="28"/>
          <w:szCs w:val="28"/>
        </w:rPr>
        <w:t xml:space="preserve">a) Phòng Giáo dục và Đào tạo tiếp nhận, rà soát, kiểm tra hồ sơ đề nghị </w:t>
      </w:r>
      <w:r>
        <w:rPr>
          <w:sz w:val="28"/>
          <w:szCs w:val="28"/>
        </w:rPr>
        <w:lastRenderedPageBreak/>
        <w:t>công nhận “Cộng đồng học tập” cấp xã.</w:t>
      </w:r>
    </w:p>
    <w:p>
      <w:pPr>
        <w:widowControl w:val="0"/>
        <w:spacing w:before="120"/>
        <w:ind w:firstLine="720"/>
        <w:jc w:val="both"/>
        <w:rPr>
          <w:sz w:val="28"/>
        </w:rPr>
      </w:pPr>
      <w:r>
        <w:rPr>
          <w:sz w:val="28"/>
          <w:szCs w:val="28"/>
        </w:rPr>
        <w:t>b) Trưởng phòng Giáo dục và Đào tạo thành lập hội đồng đánh giá, công nhận “Cộng đồng học tập” cấp xã (gọi tắt là Hội đồng đánh giá cấp huyện) và thực hiện đánh giá, công nhận “Cộng đồng học tập” cấp xã theo</w:t>
      </w:r>
      <w:r>
        <w:rPr>
          <w:sz w:val="28"/>
        </w:rPr>
        <w:t xml:space="preserve"> điểm c, điểm d, điểm đ khoản 2 Điều 9 Thông tư số 25. </w:t>
      </w:r>
    </w:p>
    <w:p>
      <w:pPr>
        <w:widowControl w:val="0"/>
        <w:spacing w:before="120"/>
        <w:ind w:firstLine="720"/>
        <w:jc w:val="both"/>
        <w:rPr>
          <w:b/>
          <w:sz w:val="28"/>
        </w:rPr>
      </w:pPr>
      <w:r>
        <w:rPr>
          <w:b/>
          <w:sz w:val="28"/>
        </w:rPr>
        <w:t>III. TỰ ĐÁNH GIÁ, ĐỀ NGHỊ CÔNG NHẬN “CỘNG ĐỒNG HỌC TẬP” CẤP HUYỆN</w:t>
      </w:r>
    </w:p>
    <w:p>
      <w:pPr>
        <w:widowControl w:val="0"/>
        <w:spacing w:before="120"/>
        <w:ind w:firstLine="720"/>
        <w:jc w:val="both"/>
        <w:rPr>
          <w:b/>
          <w:sz w:val="28"/>
          <w:szCs w:val="28"/>
        </w:rPr>
      </w:pPr>
      <w:r>
        <w:rPr>
          <w:b/>
          <w:sz w:val="28"/>
          <w:szCs w:val="28"/>
        </w:rPr>
        <w:t xml:space="preserve">1. Tiêu chí đánh giá, công nhận “Cộng đồng học tập” cấp huyện </w:t>
      </w:r>
    </w:p>
    <w:p>
      <w:pPr>
        <w:widowControl w:val="0"/>
        <w:spacing w:before="120"/>
        <w:ind w:firstLine="720"/>
        <w:jc w:val="both"/>
        <w:rPr>
          <w:sz w:val="28"/>
          <w:szCs w:val="28"/>
        </w:rPr>
      </w:pPr>
      <w:r>
        <w:rPr>
          <w:sz w:val="28"/>
          <w:szCs w:val="28"/>
        </w:rPr>
        <w:t>Mức độ 1: Thực hiện theo quy định tại Điều 11 Thông tư số 25/2023/TT-BGDĐT của Bộ Giáo dục và Đào tạo.</w:t>
      </w:r>
    </w:p>
    <w:p>
      <w:pPr>
        <w:widowControl w:val="0"/>
        <w:spacing w:before="120"/>
        <w:ind w:firstLine="720"/>
        <w:jc w:val="both"/>
        <w:rPr>
          <w:sz w:val="28"/>
          <w:szCs w:val="28"/>
        </w:rPr>
      </w:pPr>
      <w:r>
        <w:rPr>
          <w:sz w:val="28"/>
          <w:szCs w:val="28"/>
        </w:rPr>
        <w:t>Mức độ 2: Thực hiện theo quy định tại Điều 12 Thông tư số 25/2023/TT-BGDĐT của Bộ Giáo dục và Đào tạo.</w:t>
      </w:r>
    </w:p>
    <w:p>
      <w:pPr>
        <w:widowControl w:val="0"/>
        <w:spacing w:before="120"/>
        <w:ind w:firstLine="720"/>
        <w:jc w:val="both"/>
        <w:rPr>
          <w:b/>
          <w:spacing w:val="-4"/>
          <w:sz w:val="28"/>
          <w:szCs w:val="28"/>
        </w:rPr>
      </w:pPr>
      <w:r>
        <w:rPr>
          <w:b/>
          <w:spacing w:val="-4"/>
          <w:sz w:val="28"/>
          <w:szCs w:val="28"/>
        </w:rPr>
        <w:t>2. Điều kiện công nhận, đánh giá “Cộng đồng học tập” cấp huyện</w:t>
      </w:r>
    </w:p>
    <w:p>
      <w:pPr>
        <w:widowControl w:val="0"/>
        <w:spacing w:before="120"/>
        <w:ind w:firstLine="720"/>
        <w:jc w:val="both"/>
        <w:rPr>
          <w:sz w:val="28"/>
          <w:szCs w:val="28"/>
        </w:rPr>
      </w:pPr>
      <w:r>
        <w:rPr>
          <w:sz w:val="28"/>
          <w:szCs w:val="28"/>
        </w:rPr>
        <w:t>Thực hiện theo quy định tại Điều 13 Thông tư số 25/2023/TT-BGDĐT của Bộ Giáo dục và Đào tạo.</w:t>
      </w:r>
    </w:p>
    <w:p>
      <w:pPr>
        <w:widowControl w:val="0"/>
        <w:spacing w:before="120"/>
        <w:ind w:firstLine="720"/>
        <w:jc w:val="both"/>
        <w:rPr>
          <w:b/>
          <w:sz w:val="28"/>
          <w:szCs w:val="28"/>
        </w:rPr>
      </w:pPr>
      <w:r>
        <w:rPr>
          <w:b/>
          <w:sz w:val="28"/>
          <w:szCs w:val="28"/>
        </w:rPr>
        <w:t>4. Quy trình đánh giá, công nhận “Cộng đồng học tập” cấp huyện</w:t>
      </w:r>
    </w:p>
    <w:p>
      <w:pPr>
        <w:widowControl w:val="0"/>
        <w:spacing w:before="120"/>
        <w:ind w:firstLine="720"/>
        <w:jc w:val="both"/>
        <w:rPr>
          <w:b/>
          <w:sz w:val="28"/>
        </w:rPr>
      </w:pPr>
      <w:r>
        <w:rPr>
          <w:sz w:val="28"/>
          <w:szCs w:val="28"/>
        </w:rPr>
        <w:t>Phòng Giáo dục và Đào tạo chủ trì tổ chức thực hiện tự đánh giá, công nhận “Cộng đồng học tập” cấp huyện theo các tiêu chí, chỉ tiêu quy định tại Điều 11, 12 và thực hiện đầy đủ quy trình, quy định tại điểm b, điểm c, điểm d khoản 1 Điều 14 Thông tư 25.</w:t>
      </w:r>
    </w:p>
    <w:p>
      <w:pPr>
        <w:widowControl w:val="0"/>
        <w:spacing w:before="120"/>
        <w:ind w:firstLine="720"/>
        <w:jc w:val="both"/>
        <w:rPr>
          <w:b/>
          <w:sz w:val="28"/>
        </w:rPr>
      </w:pPr>
      <w:r>
        <w:rPr>
          <w:b/>
          <w:sz w:val="28"/>
        </w:rPr>
        <w:t xml:space="preserve">IV. TỔ CHỨC THỰC HIỆN </w:t>
      </w:r>
    </w:p>
    <w:p>
      <w:pPr>
        <w:widowControl w:val="0"/>
        <w:spacing w:before="120"/>
        <w:ind w:firstLine="720"/>
        <w:jc w:val="both"/>
        <w:rPr>
          <w:b/>
          <w:sz w:val="28"/>
        </w:rPr>
      </w:pPr>
      <w:r>
        <w:rPr>
          <w:b/>
          <w:sz w:val="28"/>
        </w:rPr>
        <w:t xml:space="preserve">1. Phòng Giáo dục và Đào tạo huyện </w:t>
      </w:r>
    </w:p>
    <w:p>
      <w:pPr>
        <w:widowControl w:val="0"/>
        <w:spacing w:before="120"/>
        <w:ind w:firstLine="720"/>
        <w:jc w:val="both"/>
        <w:rPr>
          <w:sz w:val="28"/>
        </w:rPr>
      </w:pPr>
      <w:r>
        <w:rPr>
          <w:sz w:val="28"/>
        </w:rPr>
        <w:t xml:space="preserve">- Chủ trì, phối hợp với Hội Khuyến học huyện và các cơ quan, đơn vị liên quan thành lập Hội đồng đánh giá, công nhận “Cộng đồng học tập” cấp xã trên địa bàn huyện. Tổ chức đánh giá, xem xét, quyết định công nhận xã, thị trấn đạt “Cộng đồng học tập” cấp xã theo quy trình quy định tại khoản 2 Điều 19 Thông tư số 25/2023/TT-BGDĐT của Bộ Giáo dục và Đào tạo. </w:t>
      </w:r>
    </w:p>
    <w:p>
      <w:pPr>
        <w:widowControl w:val="0"/>
        <w:spacing w:before="120"/>
        <w:ind w:firstLine="720"/>
        <w:jc w:val="both"/>
        <w:rPr>
          <w:sz w:val="28"/>
        </w:rPr>
      </w:pPr>
      <w:r>
        <w:rPr>
          <w:sz w:val="28"/>
        </w:rPr>
        <w:t xml:space="preserve">- Chủ trì thực hiện tự đánh giá, công nhận “Cộng đồng học tập” cấp huyện theo các tiêu chí, chỉ tiêu quy định tại Điều 11, 12 Thông tư số 25/2023/TT-BGDĐT của Bộ Giáo dục và Đào tạo. Phối hợp với Hội Khuyến học huyện và các đơn vị liên quan tổ chức cuộc họp xem xét, thống nhất kết quả tự đánh giá, đề nghị công nhận “Cộng đồng học tập” cấp huyện. </w:t>
      </w:r>
    </w:p>
    <w:p>
      <w:pPr>
        <w:widowControl w:val="0"/>
        <w:spacing w:before="120"/>
        <w:ind w:firstLine="720"/>
        <w:jc w:val="both"/>
        <w:rPr>
          <w:sz w:val="28"/>
        </w:rPr>
      </w:pPr>
      <w:r>
        <w:rPr>
          <w:sz w:val="28"/>
        </w:rPr>
        <w:t xml:space="preserve">- Báo cáo Uỷ ban nhân dân huyện, Sở Giáo dục và Đào tạo kết quả đánh giá, công nhận “Cộng đồng học tập” cấp xã,; kết quả tự đánh giá, đề nghị công nhận ‘Cộng đồng học tập” cấp huyện theo quy định. </w:t>
      </w:r>
    </w:p>
    <w:p>
      <w:pPr>
        <w:widowControl w:val="0"/>
        <w:spacing w:before="120"/>
        <w:ind w:firstLine="720"/>
        <w:jc w:val="both"/>
        <w:rPr>
          <w:b/>
          <w:sz w:val="28"/>
        </w:rPr>
      </w:pPr>
      <w:r>
        <w:rPr>
          <w:b/>
          <w:sz w:val="28"/>
        </w:rPr>
        <w:t>2. Hội Khuyến học huyện</w:t>
      </w:r>
    </w:p>
    <w:p>
      <w:pPr>
        <w:widowControl w:val="0"/>
        <w:spacing w:before="120"/>
        <w:ind w:firstLine="720"/>
        <w:jc w:val="both"/>
        <w:rPr>
          <w:sz w:val="28"/>
        </w:rPr>
      </w:pPr>
      <w:r>
        <w:rPr>
          <w:sz w:val="28"/>
        </w:rPr>
        <w:t xml:space="preserve">Phối hợp với Phòng Giáo dục và Đào tạo và các đơn vị liên quan tổ chức thực hiện việc thẩm định hồ sơ đề nghị công nhận “Cộng đồng học tập” cấp xã; xem xét, thống nhất kết quả tự đánh giá, đề nghị công nhận “Cộng đồng học </w:t>
      </w:r>
      <w:r>
        <w:rPr>
          <w:sz w:val="28"/>
        </w:rPr>
        <w:lastRenderedPageBreak/>
        <w:t xml:space="preserve">tập” cấp huyện. </w:t>
      </w:r>
    </w:p>
    <w:p>
      <w:pPr>
        <w:pStyle w:val="BodyText"/>
        <w:spacing w:before="100" w:after="100" w:line="320" w:lineRule="exact"/>
        <w:ind w:firstLine="720"/>
        <w:jc w:val="both"/>
      </w:pPr>
      <w:r>
        <w:rPr>
          <w:shd w:val="solid" w:color="FFFFFF" w:fill="auto"/>
          <w:lang w:val="pt-BR"/>
        </w:rPr>
        <w:t xml:space="preserve">- Đẩy mạnh tuyên truyền xây dựng, đánh giá, nhân rộng các mô hình học tập (công dân học tập, gia đình học tập, dòng họ học tập, đơn vị học tập) làm nòng cốt cho việc xây dựng mô hình "Cộng đồng học tập". </w:t>
      </w:r>
    </w:p>
    <w:p>
      <w:pPr>
        <w:widowControl w:val="0"/>
        <w:spacing w:before="120"/>
        <w:ind w:firstLine="720"/>
        <w:jc w:val="both"/>
        <w:rPr>
          <w:b/>
          <w:sz w:val="28"/>
        </w:rPr>
      </w:pPr>
      <w:r>
        <w:rPr>
          <w:b/>
          <w:sz w:val="28"/>
        </w:rPr>
        <w:t>3. Đề nghị Ủy ban Mặt trận Tổ quốc Việt Nam, các tổ chức chính trị - xã hội cấp huyện</w:t>
      </w:r>
    </w:p>
    <w:p>
      <w:pPr>
        <w:widowControl w:val="0"/>
        <w:spacing w:before="120"/>
        <w:ind w:firstLine="720"/>
        <w:jc w:val="both"/>
        <w:rPr>
          <w:sz w:val="28"/>
        </w:rPr>
      </w:pPr>
      <w:r>
        <w:rPr>
          <w:sz w:val="28"/>
        </w:rPr>
        <w:t xml:space="preserve">Phối hợp với Phòng Giáo dục và Đào tạo các các đơn vị liên quan tổ chức thực hiện việc thẩm định hồ sơ đề nghị công nhận “Cộng đồng học tập” cấp xã; xem xét, thống nhất kết quả tự đánh giá, đề nghị công nhận “Cộng đồng học tập” cấp huyện. </w:t>
      </w:r>
    </w:p>
    <w:p>
      <w:pPr>
        <w:widowControl w:val="0"/>
        <w:spacing w:before="120"/>
        <w:ind w:firstLine="720"/>
        <w:jc w:val="both"/>
        <w:rPr>
          <w:b/>
          <w:sz w:val="28"/>
        </w:rPr>
      </w:pPr>
      <w:r>
        <w:rPr>
          <w:b/>
          <w:sz w:val="28"/>
        </w:rPr>
        <w:t xml:space="preserve">4. Uỷ ban nhân dân các xã, thị trấn </w:t>
      </w:r>
    </w:p>
    <w:p>
      <w:pPr>
        <w:widowControl w:val="0"/>
        <w:spacing w:before="120"/>
        <w:ind w:firstLine="720"/>
        <w:jc w:val="both"/>
        <w:rPr>
          <w:sz w:val="28"/>
        </w:rPr>
      </w:pPr>
      <w:r>
        <w:rPr>
          <w:sz w:val="28"/>
        </w:rPr>
        <w:t xml:space="preserve">- Xây dựng và tổ chức thực hiện kế hoạch xây dựng “Cộng đồng học tập” trên địa bàn phù hợp với tình hình thực tế của địa phương. </w:t>
      </w:r>
    </w:p>
    <w:p>
      <w:pPr>
        <w:widowControl w:val="0"/>
        <w:spacing w:before="120"/>
        <w:ind w:firstLine="720"/>
        <w:jc w:val="both"/>
        <w:rPr>
          <w:spacing w:val="-2"/>
          <w:sz w:val="28"/>
        </w:rPr>
      </w:pPr>
      <w:r>
        <w:rPr>
          <w:spacing w:val="-2"/>
          <w:sz w:val="28"/>
        </w:rPr>
        <w:t xml:space="preserve">- Chỉ đạo Hội Khuyến học xã, các tổ chức chính trị - xã hội cấp xã, trung tâm văn hóa, thể thao cấp xã, thư viện công cộng cấp xã và các cơ sở giáo dục trên địa bàn xã tổ chức thực hiện kế hoạch xây dựng “Cộng đồng học tập” cấp xã. </w:t>
      </w:r>
    </w:p>
    <w:p>
      <w:pPr>
        <w:widowControl w:val="0"/>
        <w:spacing w:before="120"/>
        <w:ind w:firstLine="720"/>
        <w:jc w:val="both"/>
        <w:rPr>
          <w:sz w:val="28"/>
        </w:rPr>
      </w:pPr>
      <w:r>
        <w:rPr>
          <w:sz w:val="28"/>
        </w:rPr>
        <w:t xml:space="preserve">- Thu thập minh chứng, lưu hồ sơ đầy đủ. Tổ chức triển khai việc tự đánh giá, công nhận “Cộng đồng học tập” cấp xã theo quy trình quy định tại khoản 1 Điều 9 Thông tư số 25/2023/TT-BGDĐT của Bộ Giáo dục và Đào tạo. </w:t>
      </w:r>
    </w:p>
    <w:p>
      <w:pPr>
        <w:widowControl w:val="0"/>
        <w:spacing w:before="120"/>
        <w:ind w:firstLine="720"/>
        <w:jc w:val="both"/>
        <w:rPr>
          <w:sz w:val="28"/>
        </w:rPr>
      </w:pPr>
      <w:r>
        <w:rPr>
          <w:sz w:val="28"/>
        </w:rPr>
        <w:t xml:space="preserve">Trên đây là kế hoạch thực hiện đánh giá, công nhận “Cộng đồng học tập” cấp xã, kế hoạch tự đánh giá công nhận ‘Cộng đồng học tập” cấp huyện theo Thông tư số 25/2023/TT-BGDĐT của Bộ Giáo dục và Đào tạo thực hiện từ năm 2024 và các năm tiếp theo. Kế hoạch này thay thế các văn bản thực hiện theo Thông tư số 44/2014/TT-BGDĐT  ngày 12/12/2014 của Bộ Giáo dục và Đào tạo quy định về việc đánh giá, xếp loại “Cộng đồng học tập” cấp xã của UBND huyện trước đây. </w:t>
      </w:r>
    </w:p>
    <w:p>
      <w:pPr>
        <w:widowControl w:val="0"/>
        <w:spacing w:before="120"/>
        <w:ind w:firstLine="720"/>
        <w:jc w:val="both"/>
        <w:rPr>
          <w:sz w:val="28"/>
        </w:rPr>
      </w:pPr>
      <w:r>
        <w:rPr>
          <w:sz w:val="28"/>
        </w:rPr>
        <w:t>Uỷ ban nhân dân huyện yêu cầu các cơ quan, đơn vị nghiêm túc triển khai thực hiện. Trong quá trình thực hiện, nếu có khó khăn, vướng mắc, đề nghị các cơ quan, đơn vị tổng hợp, báo cáo về UBND huyện (qua Phòng GDĐT) để phối hợp giải quyết kịp thời./.</w:t>
      </w:r>
    </w:p>
    <w:tbl>
      <w:tblPr>
        <w:tblpPr w:leftFromText="180" w:rightFromText="180" w:vertAnchor="text" w:horzAnchor="margin" w:tblpY="184"/>
        <w:tblW w:w="0" w:type="auto"/>
        <w:tblLook w:val="01E0" w:firstRow="1" w:lastRow="1" w:firstColumn="1" w:lastColumn="1" w:noHBand="0" w:noVBand="0"/>
      </w:tblPr>
      <w:tblGrid>
        <w:gridCol w:w="5070"/>
        <w:gridCol w:w="4218"/>
      </w:tblGrid>
      <w:tr>
        <w:tc>
          <w:tcPr>
            <w:tcW w:w="5070" w:type="dxa"/>
            <w:shd w:val="clear" w:color="auto" w:fill="auto"/>
          </w:tcPr>
          <w:p>
            <w:pPr>
              <w:widowControl w:val="0"/>
              <w:rPr>
                <w:sz w:val="2"/>
              </w:rPr>
            </w:pPr>
            <w:r>
              <w:rPr>
                <w:b/>
                <w:i/>
                <w:sz w:val="24"/>
              </w:rPr>
              <w:t>Nơi nhận:</w:t>
            </w:r>
          </w:p>
          <w:p>
            <w:pPr>
              <w:widowControl w:val="0"/>
              <w:rPr>
                <w:sz w:val="22"/>
              </w:rPr>
            </w:pPr>
            <w:r>
              <w:rPr>
                <w:sz w:val="22"/>
              </w:rPr>
              <w:t>- Chủ tịch, các Phó Chủ tịch UBND huyện;</w:t>
            </w:r>
          </w:p>
          <w:p>
            <w:pPr>
              <w:widowControl w:val="0"/>
              <w:rPr>
                <w:sz w:val="22"/>
                <w:szCs w:val="22"/>
              </w:rPr>
            </w:pPr>
            <w:r>
              <w:rPr>
                <w:sz w:val="22"/>
                <w:szCs w:val="22"/>
              </w:rPr>
              <w:t>- Văn phòng HĐND -UBND huyện;</w:t>
            </w:r>
          </w:p>
          <w:p>
            <w:pPr>
              <w:widowControl w:val="0"/>
              <w:rPr>
                <w:sz w:val="22"/>
                <w:szCs w:val="22"/>
              </w:rPr>
            </w:pPr>
            <w:r>
              <w:rPr>
                <w:sz w:val="22"/>
                <w:szCs w:val="22"/>
              </w:rPr>
              <w:t xml:space="preserve">- Ban chỉ đạo Học tập suốt đời; </w:t>
            </w:r>
          </w:p>
          <w:p>
            <w:pPr>
              <w:widowControl w:val="0"/>
              <w:rPr>
                <w:sz w:val="22"/>
                <w:szCs w:val="22"/>
              </w:rPr>
            </w:pPr>
            <w:r>
              <w:rPr>
                <w:sz w:val="22"/>
                <w:szCs w:val="22"/>
              </w:rPr>
              <w:t>- Ủy ban MTTQVN huyện</w:t>
            </w:r>
          </w:p>
          <w:p>
            <w:pPr>
              <w:widowControl w:val="0"/>
              <w:rPr>
                <w:sz w:val="22"/>
                <w:szCs w:val="22"/>
              </w:rPr>
            </w:pPr>
            <w:r>
              <w:rPr>
                <w:sz w:val="22"/>
                <w:szCs w:val="22"/>
              </w:rPr>
              <w:t xml:space="preserve">- Các tổ chức chính trị -xã hội huyện; </w:t>
            </w:r>
          </w:p>
          <w:p>
            <w:pPr>
              <w:widowControl w:val="0"/>
              <w:rPr>
                <w:sz w:val="22"/>
                <w:szCs w:val="22"/>
              </w:rPr>
            </w:pPr>
            <w:r>
              <w:rPr>
                <w:sz w:val="22"/>
                <w:szCs w:val="22"/>
              </w:rPr>
              <w:t xml:space="preserve">- UBND các xã, thị trấn; </w:t>
            </w:r>
          </w:p>
          <w:p>
            <w:pPr>
              <w:widowControl w:val="0"/>
            </w:pPr>
            <w:r>
              <w:rPr>
                <w:sz w:val="22"/>
                <w:szCs w:val="22"/>
              </w:rPr>
              <w:t>- Lưu: VT</w:t>
            </w:r>
            <w:r>
              <w:t>.</w:t>
            </w:r>
          </w:p>
        </w:tc>
        <w:tc>
          <w:tcPr>
            <w:tcW w:w="4218" w:type="dxa"/>
            <w:shd w:val="clear" w:color="auto" w:fill="auto"/>
          </w:tcPr>
          <w:p>
            <w:pPr>
              <w:widowControl w:val="0"/>
              <w:jc w:val="center"/>
              <w:rPr>
                <w:b/>
                <w:sz w:val="28"/>
              </w:rPr>
            </w:pPr>
            <w:r>
              <w:rPr>
                <w:b/>
                <w:sz w:val="28"/>
              </w:rPr>
              <w:t>TM. ỦY BAN NHÂN DÂN</w:t>
            </w:r>
          </w:p>
          <w:p>
            <w:pPr>
              <w:widowControl w:val="0"/>
              <w:jc w:val="center"/>
              <w:rPr>
                <w:b/>
                <w:sz w:val="28"/>
              </w:rPr>
            </w:pPr>
            <w:r>
              <w:rPr>
                <w:b/>
                <w:sz w:val="28"/>
              </w:rPr>
              <w:t>KT. CHỦ TỊCH</w:t>
            </w:r>
          </w:p>
          <w:p>
            <w:pPr>
              <w:widowControl w:val="0"/>
              <w:jc w:val="center"/>
              <w:rPr>
                <w:b/>
                <w:sz w:val="28"/>
              </w:rPr>
            </w:pPr>
            <w:r>
              <w:rPr>
                <w:b/>
                <w:sz w:val="28"/>
              </w:rPr>
              <w:t>PHÓ CHỦ TỊCH</w:t>
            </w:r>
          </w:p>
          <w:p>
            <w:pPr>
              <w:widowControl w:val="0"/>
              <w:jc w:val="center"/>
              <w:rPr>
                <w:b/>
                <w:sz w:val="28"/>
              </w:rPr>
            </w:pPr>
          </w:p>
          <w:p>
            <w:pPr>
              <w:widowControl w:val="0"/>
              <w:jc w:val="center"/>
              <w:rPr>
                <w:b/>
                <w:sz w:val="28"/>
              </w:rPr>
            </w:pPr>
          </w:p>
          <w:p>
            <w:pPr>
              <w:widowControl w:val="0"/>
              <w:jc w:val="center"/>
              <w:rPr>
                <w:b/>
                <w:sz w:val="20"/>
              </w:rPr>
            </w:pPr>
          </w:p>
          <w:p>
            <w:pPr>
              <w:widowControl w:val="0"/>
              <w:jc w:val="center"/>
              <w:rPr>
                <w:b/>
              </w:rPr>
            </w:pPr>
          </w:p>
          <w:p>
            <w:pPr>
              <w:widowControl w:val="0"/>
              <w:jc w:val="center"/>
              <w:rPr>
                <w:b/>
                <w:sz w:val="28"/>
              </w:rPr>
            </w:pPr>
            <w:r>
              <w:rPr>
                <w:b/>
                <w:sz w:val="28"/>
              </w:rPr>
              <w:t>Nguyễn Bá Hà</w:t>
            </w:r>
          </w:p>
        </w:tc>
      </w:tr>
    </w:tbl>
    <w:p>
      <w:pPr>
        <w:widowControl w:val="0"/>
        <w:spacing w:before="120"/>
        <w:ind w:firstLine="720"/>
        <w:jc w:val="both"/>
        <w:rPr>
          <w:sz w:val="40"/>
        </w:rPr>
      </w:pPr>
    </w:p>
    <w:sectPr>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445716"/>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6"/>
      <w:szCs w:val="2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6"/>
    </w:rPr>
  </w:style>
  <w:style w:type="character" w:customStyle="1" w:styleId="BodyTextChar">
    <w:name w:val="Body Text Char"/>
    <w:link w:val="BodyText"/>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pPr>
      <w:widowControl w:val="0"/>
      <w:shd w:val="clear" w:color="auto" w:fill="FFFFFF"/>
      <w:spacing w:after="120" w:line="360" w:lineRule="auto"/>
      <w:ind w:firstLine="400"/>
    </w:pPr>
    <w:rPr>
      <w:sz w:val="28"/>
      <w:szCs w:val="28"/>
    </w:rPr>
  </w:style>
  <w:style w:type="character" w:customStyle="1" w:styleId="BodyTextChar1">
    <w:name w:val="Body Text Char1"/>
    <w:basedOn w:val="DefaultParagraphFont"/>
    <w:uiPriority w:val="99"/>
    <w:semiHidden/>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6"/>
      <w:szCs w:val="2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6"/>
    </w:rPr>
  </w:style>
  <w:style w:type="character" w:customStyle="1" w:styleId="BodyTextChar">
    <w:name w:val="Body Text Char"/>
    <w:link w:val="BodyText"/>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pPr>
      <w:widowControl w:val="0"/>
      <w:shd w:val="clear" w:color="auto" w:fill="FFFFFF"/>
      <w:spacing w:after="120" w:line="360" w:lineRule="auto"/>
      <w:ind w:firstLine="400"/>
    </w:pPr>
    <w:rPr>
      <w:sz w:val="28"/>
      <w:szCs w:val="28"/>
    </w:rPr>
  </w:style>
  <w:style w:type="character" w:customStyle="1" w:styleId="BodyTextChar1">
    <w:name w:val="Body Text Char1"/>
    <w:basedOn w:val="DefaultParagraphFont"/>
    <w:uiPriority w:val="99"/>
    <w:semiHidden/>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HD</dc:creator>
  <cp:lastModifiedBy>User</cp:lastModifiedBy>
  <cp:revision>18</cp:revision>
  <dcterms:created xsi:type="dcterms:W3CDTF">2024-09-20T02:17:00Z</dcterms:created>
  <dcterms:modified xsi:type="dcterms:W3CDTF">2024-09-20T08:56:00Z</dcterms:modified>
</cp:coreProperties>
</file>